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LANDS’ END,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001-09769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36-2512786</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5 Lands’ End Lane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Dodgeville, Wisconsin</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53595</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(608) 935-9341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20" w:hanging="412"/>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20" w:hanging="412"/>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20" w:hanging="412"/>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20" w:hanging="412"/>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September 9, 2025, Lands’ End, Inc. (the “Company”) announced its financial results for its second quarter ended August 1, 2025. A copy of the Company’s press release containing this information is being furnished as Exhibit 99.1 to this Current Report on Form 8-K and is incorporated herein by reference.</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Company, whether made before or after the date hereof, regardless of any general incorporation language in such filing, unless expressly incorporated by specific reference to such filing. The information in this Item 2.02, including Exhibit 99.1 hereto, shall not be deemed to be “filed” for purposes of Section 18 of the Securities Exchange Act of 1934, as amended, or otherwise subject to the liabilities of that section or Sections 11 and 12(a)(2)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283"/>
        </w:trPr>
        <w:tc>
          <w:tcPr>
            <w:tcW w:w="54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96"/>
        </w:trPr>
        <w:tc>
          <w:tcPr>
            <w:tcW w:w="1680" w:type="dxa"/>
            <w:vAlign w:val="bottom"/>
            <w:gridSpan w:val="3"/>
          </w:tcPr>
          <w:p>
            <w:pPr>
              <w:ind w:left="5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300" w:type="dxa"/>
            <w:vAlign w:val="bottom"/>
          </w:tcPr>
          <w:p>
            <w:pPr>
              <w:spacing w:after="0"/>
              <w:rPr>
                <w:sz w:val="17"/>
                <w:szCs w:val="17"/>
                <w:color w:val="auto"/>
              </w:rPr>
            </w:pPr>
          </w:p>
        </w:tc>
        <w:tc>
          <w:tcPr>
            <w:tcW w:w="8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Press Release of Lands’ End, Inc. dated September 9, 2025</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60" w:type="dxa"/>
            <w:vAlign w:val="bottom"/>
            <w:gridSpan w:val="2"/>
          </w:tcPr>
          <w:p>
            <w:pPr>
              <w:spacing w:after="0" w:line="20" w:lineRule="exact"/>
              <w:rPr>
                <w:sz w:val="1"/>
                <w:szCs w:val="1"/>
                <w:color w:val="auto"/>
              </w:rPr>
            </w:pPr>
          </w:p>
        </w:tc>
      </w:tr>
      <w:tr>
        <w:trPr>
          <w:trHeight w:val="237"/>
        </w:trPr>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LANDS’ END, INC.</w:t>
            </w:r>
          </w:p>
        </w:tc>
      </w:tr>
      <w:tr>
        <w:trPr>
          <w:trHeight w:val="48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2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205"/>
        </w:trPr>
        <w:tc>
          <w:tcPr>
            <w:tcW w:w="3380" w:type="dxa"/>
            <w:vAlign w:val="bottom"/>
          </w:tcPr>
          <w:p>
            <w:pPr>
              <w:spacing w:after="0"/>
              <w:rPr>
                <w:sz w:val="17"/>
                <w:szCs w:val="17"/>
                <w:color w:val="auto"/>
              </w:rPr>
            </w:pPr>
          </w:p>
        </w:tc>
        <w:tc>
          <w:tcPr>
            <w:tcW w:w="2160" w:type="dxa"/>
            <w:vAlign w:val="bottom"/>
          </w:tcPr>
          <w:p>
            <w:pPr>
              <w:ind w:left="14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Bernard McCracken</w:t>
            </w:r>
          </w:p>
        </w:tc>
      </w:tr>
      <w:tr>
        <w:trPr>
          <w:trHeight w:val="234"/>
        </w:trPr>
        <w:tc>
          <w:tcPr>
            <w:tcW w:w="3380" w:type="dxa"/>
            <w:vAlign w:val="bottom"/>
          </w:tcPr>
          <w:p>
            <w:pPr>
              <w:spacing w:after="0"/>
              <w:rPr>
                <w:sz w:val="20"/>
                <w:szCs w:val="20"/>
                <w:color w:val="auto"/>
              </w:rPr>
            </w:pPr>
          </w:p>
        </w:tc>
        <w:tc>
          <w:tcPr>
            <w:tcW w:w="2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141"/>
        </w:trPr>
        <w:tc>
          <w:tcPr>
            <w:tcW w:w="33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205105</wp:posOffset>
            </wp:positionV>
            <wp:extent cx="4526280" cy="591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262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Lands’ End Announces Second Quarter 2025 Results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Increased gross margin approximately 90 basis points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Reduced inventory for the ninth consecutive quarter</w:t>
      </w:r>
    </w:p>
    <w:p>
      <w:pPr>
        <w:spacing w:after="0" w:line="200" w:lineRule="exact"/>
        <w:rPr>
          <w:sz w:val="20"/>
          <w:szCs w:val="20"/>
          <w:color w:val="auto"/>
        </w:rPr>
      </w:pPr>
    </w:p>
    <w:p>
      <w:pPr>
        <w:spacing w:after="0" w:line="23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DODGEVILLE, Wis., September 9, 2025 </w:t>
      </w:r>
      <w:r>
        <w:rPr>
          <w:rFonts w:ascii="Times New Roman" w:cs="Times New Roman" w:eastAsia="Times New Roman" w:hAnsi="Times New Roman"/>
          <w:sz w:val="20"/>
          <w:szCs w:val="20"/>
          <w:color w:val="auto"/>
        </w:rPr>
        <w:t>(GLOBE NEWSWIRE) – Lands’ End, Inc. (NASDAQ: LE) today announced financial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second quarter ended August 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Andrew McLean, Chief Executive Officer, stated: “As we reflect on the past several months – including the second and into the third quarter</w:t>
      </w:r>
    </w:p>
    <w:p>
      <w:pPr>
        <w:spacing w:after="0" w:line="3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auto"/>
        </w:rPr>
        <w:t>– we’re seeing clear, encouraging momentum across our businesses. In our consumer business, tangible improvements in key product categories, channels, and customer engagement reinforce our confidence that our strategy of providing solutions for every customer journey is working. Further, our weatherproofed assortment and shift toward an asset-light, low-intensity model are enabling us to rapidly introduce new products that resonate with customers, drive high-quality sales, and deepen loyalty. In our Lands’ End Outfitters business, we continue to deliver differentiated value and are pleased to report a strong quarter with growth in both revenue and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Financial Highlights</w:t>
      </w:r>
    </w:p>
    <w:p>
      <w:pPr>
        <w:spacing w:after="0" w:line="233" w:lineRule="exact"/>
        <w:rPr>
          <w:sz w:val="20"/>
          <w:szCs w:val="20"/>
          <w:color w:val="auto"/>
        </w:rPr>
      </w:pPr>
    </w:p>
    <w:p>
      <w:pPr>
        <w:ind w:left="760" w:right="120" w:hanging="378"/>
        <w:spacing w:after="0" w:line="254"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Merchandise Value (“GMV”) was approximately flat when compared to the second quarter of 2024. GMV is the total order value of all Lands’ End branded merchandise sold to customers through business-to-consumer and business-to-business channels, as well as the estimated retail value of the merchandise sold through third party distribution channels.</w:t>
      </w:r>
    </w:p>
    <w:p>
      <w:pPr>
        <w:spacing w:after="0" w:line="187"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was $294.1 million for the second quarter of 2025, a decrease of $23.1 million or 7.3% from $317.2 million during the second quarter of 2024.</w:t>
      </w:r>
    </w:p>
    <w:p>
      <w:pPr>
        <w:spacing w:after="0" w:line="172" w:lineRule="exact"/>
        <w:rPr>
          <w:rFonts w:ascii="Times New Roman" w:cs="Times New Roman" w:eastAsia="Times New Roman" w:hAnsi="Times New Roman"/>
          <w:sz w:val="20"/>
          <w:szCs w:val="20"/>
          <w:color w:val="auto"/>
        </w:rPr>
      </w:pPr>
    </w:p>
    <w:p>
      <w:pPr>
        <w:ind w:left="1140" w:right="40" w:hanging="383"/>
        <w:spacing w:after="0" w:line="269" w:lineRule="auto"/>
        <w:tabs>
          <w:tab w:leader="none" w:pos="11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Digital Segment Net revenue was $255.3 million for the second quarter of 2025, a decrease of $15.1 million or 5.6% from $270.4 million in the second quarter of 2024.</w:t>
      </w:r>
    </w:p>
    <w:p>
      <w:pPr>
        <w:spacing w:after="0" w:line="172" w:lineRule="exact"/>
        <w:rPr>
          <w:rFonts w:ascii="Times New Roman" w:cs="Times New Roman" w:eastAsia="Times New Roman" w:hAnsi="Times New Roman"/>
          <w:sz w:val="20"/>
          <w:szCs w:val="20"/>
          <w:color w:val="auto"/>
        </w:rPr>
      </w:pPr>
    </w:p>
    <w:p>
      <w:pPr>
        <w:ind w:left="1500" w:right="40" w:hanging="369"/>
        <w:spacing w:after="0" w:line="269" w:lineRule="auto"/>
        <w:tabs>
          <w:tab w:leader="none" w:pos="150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eCommerce Net revenue was $167.3 million, a decrease of $21.0 million or 11.2% from $188.3 million in the second quarter of 2024. The second quarter decrease reflected a slower start to the seasonal swim product.</w:t>
      </w:r>
    </w:p>
    <w:p>
      <w:pPr>
        <w:spacing w:after="0" w:line="172" w:lineRule="exact"/>
        <w:rPr>
          <w:rFonts w:ascii="Times New Roman" w:cs="Times New Roman" w:eastAsia="Times New Roman" w:hAnsi="Times New Roman"/>
          <w:sz w:val="20"/>
          <w:szCs w:val="20"/>
          <w:color w:val="auto"/>
        </w:rPr>
      </w:pPr>
    </w:p>
    <w:p>
      <w:pPr>
        <w:ind w:left="1500" w:right="40" w:hanging="369"/>
        <w:spacing w:after="0" w:line="249" w:lineRule="auto"/>
        <w:tabs>
          <w:tab w:leader="none" w:pos="150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Outfitters Net revenue was $66.4 million for the second quarter of 2025, an increase of $3.2 million or 5.1% from $63.2 million in the second quarter of 2024. The school uniform channel increased high-single digits primarily due to new customers acquired from a competitor exiting the business. Revenue from the business uniform channel was up year-over-year driven by our enterprise accounts.</w:t>
      </w:r>
    </w:p>
    <w:p>
      <w:pPr>
        <w:spacing w:after="0" w:line="193" w:lineRule="exact"/>
        <w:rPr>
          <w:rFonts w:ascii="Times New Roman" w:cs="Times New Roman" w:eastAsia="Times New Roman" w:hAnsi="Times New Roman"/>
          <w:sz w:val="20"/>
          <w:szCs w:val="20"/>
          <w:color w:val="auto"/>
        </w:rPr>
      </w:pPr>
    </w:p>
    <w:p>
      <w:pPr>
        <w:ind w:left="1500" w:right="360" w:hanging="369"/>
        <w:spacing w:after="0" w:line="254" w:lineRule="auto"/>
        <w:tabs>
          <w:tab w:leader="none" w:pos="150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Party Net revenue was $21.6 million, for the second quarter of 2025, an increase of $2.7 million or 14.3% from $18.9 million during the second quarter of 2024. The increase was primarily due to curated product assortments which resulted in strength across marketplaces, primarily Amazon and Macy’s.</w:t>
      </w:r>
    </w:p>
    <w:p>
      <w:pPr>
        <w:spacing w:after="0" w:line="187" w:lineRule="exact"/>
        <w:rPr>
          <w:rFonts w:ascii="Times New Roman" w:cs="Times New Roman" w:eastAsia="Times New Roman" w:hAnsi="Times New Roman"/>
          <w:sz w:val="20"/>
          <w:szCs w:val="20"/>
          <w:color w:val="auto"/>
        </w:rPr>
      </w:pPr>
    </w:p>
    <w:p>
      <w:pPr>
        <w:ind w:left="1140" w:right="200" w:hanging="383"/>
        <w:spacing w:after="0" w:line="249" w:lineRule="auto"/>
        <w:tabs>
          <w:tab w:leader="none" w:pos="11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Europe eCommerce Net revenue was $19.6 million for the second quarter of 2025, a decrease of $3.4 million or 14.8%, from $23.0 million during the second quarter of 2024. The decrease was primarily due to inventory timing from supply chain challenges and macroeconomic conditions while continuing to increase distribution channels with several marketplace expansions.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ind w:left="1140" w:right="220" w:hanging="383"/>
        <w:spacing w:after="0" w:line="254" w:lineRule="auto"/>
        <w:tabs>
          <w:tab w:leader="none" w:pos="11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Licensing and Retail Net revenue was $19.2 million for the second quarter 2025, a decrease of $4.7 million or 19.7% from $23.9 million during the second quarter of 2024. The revenue decreased due to the performance of U.S. Company Operated Stores partially offset by licensing revenue increasing approximately 19%.</w:t>
      </w:r>
    </w:p>
    <w:p>
      <w:pPr>
        <w:spacing w:after="0" w:line="187" w:lineRule="exact"/>
        <w:rPr>
          <w:rFonts w:ascii="Times New Roman" w:cs="Times New Roman" w:eastAsia="Times New Roman" w:hAnsi="Times New Roman"/>
          <w:sz w:val="20"/>
          <w:szCs w:val="20"/>
          <w:color w:val="auto"/>
        </w:rPr>
      </w:pPr>
    </w:p>
    <w:p>
      <w:pPr>
        <w:ind w:left="760" w:right="100" w:hanging="378"/>
        <w:spacing w:after="0" w:line="24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was $143.4 million for the second quarter of 2025, a decrease of $8.5 million or 5.6% from $151.9 million during the second quarter of 2024. Gross margin increased approximately 90 basis points to 48.8% in the second quarter of 2025, compared with 47.9% in the second quarter of 2024. The gross margin improvement was primarily driven by improved promotional productivity and the expansion of the licensing business.</w:t>
      </w:r>
    </w:p>
    <w:p>
      <w:pPr>
        <w:spacing w:after="0" w:line="193" w:lineRule="exact"/>
        <w:rPr>
          <w:rFonts w:ascii="Times New Roman" w:cs="Times New Roman" w:eastAsia="Times New Roman" w:hAnsi="Times New Roman"/>
          <w:sz w:val="20"/>
          <w:szCs w:val="20"/>
          <w:color w:val="auto"/>
        </w:rPr>
      </w:pPr>
    </w:p>
    <w:p>
      <w:pPr>
        <w:ind w:left="760" w:right="200" w:hanging="378"/>
        <w:spacing w:after="0" w:line="254"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and administrative expenses decreased $6.1 million to $129.4 million or 44.0% of Net revenue in the second quarter of 2025, compared with $135.5 million or 42.7% of Net revenue in the second quarter of 2024. The approximately 130 basis points increase was primarily driven by deleverage from lower revenues.</w:t>
      </w:r>
    </w:p>
    <w:p>
      <w:pPr>
        <w:spacing w:after="0" w:line="187"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$3.7 million, or $0.12 loss per diluted share compared to Net loss of $5.3 million or $0.17 loss per diluted share in the second quarter of 2024.</w:t>
      </w:r>
    </w:p>
    <w:p>
      <w:pPr>
        <w:spacing w:after="0" w:line="172" w:lineRule="exact"/>
        <w:rPr>
          <w:rFonts w:ascii="Times New Roman" w:cs="Times New Roman" w:eastAsia="Times New Roman" w:hAnsi="Times New Roman"/>
          <w:sz w:val="20"/>
          <w:szCs w:val="20"/>
          <w:color w:val="auto"/>
        </w:rPr>
      </w:pPr>
    </w:p>
    <w:p>
      <w:pPr>
        <w:ind w:left="760" w:right="52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loss was $1.9 million and Adjusted diluted loss per share was $0.06 in the second quarter of 2025, compared to Adjusted net loss of $0.7 million and Adjusted diluted loss per share of $0.02 in the second quarter of 2024.</w:t>
      </w:r>
    </w:p>
    <w:p>
      <w:pPr>
        <w:spacing w:after="0" w:line="172" w:lineRule="exact"/>
        <w:rPr>
          <w:rFonts w:ascii="Times New Roman" w:cs="Times New Roman" w:eastAsia="Times New Roman" w:hAnsi="Times New Roman"/>
          <w:sz w:val="20"/>
          <w:szCs w:val="20"/>
          <w:color w:val="auto"/>
        </w:rPr>
      </w:pPr>
    </w:p>
    <w:p>
      <w:pPr>
        <w:ind w:left="760" w:right="44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$14.1 million in the second quarter of 2025, compared to $17.1 million in the second quarter of 2024,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Cash Flow Highlights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were $21.3 million as of August 1, 2025, compared to $25.6 million as of August 2, 2024.</w:t>
      </w:r>
    </w:p>
    <w:p>
      <w:pPr>
        <w:spacing w:after="0" w:line="22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Inventories were $301.8 million as of August 1, 2025, and $312.0 million as of August 2, 2024, representing a 3% year over year decline. This reduction reflects the Company’s disciplined inventory management strategy, including tighter control over purchasing and accelerated speed-to-market initiatives. These actions have enhanced inventory efficiency and positioned the Company to better navigate external pressures, including tariff-related impacts.</w:t>
      </w:r>
    </w:p>
    <w:p>
      <w:pPr>
        <w:spacing w:after="0" w:line="193"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Net cash provided by operating activities was $0.5 million for the 26 weeks ended August 1, 2025, compared to net cash provided by operating activities of $4.9 million for the 26 weeks ended August 2, 2024. The decrease in net cash provided by operating activities was primarily due to the decrease in Adjusted EBITDA.</w:t>
      </w:r>
    </w:p>
    <w:p>
      <w:pPr>
        <w:spacing w:after="0" w:line="188"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As of August 1, 2025, the Company had $35.0 million of borrowings outstanding and $87.6 million of availability under its ABL Facility, compared to $20.0 million of borrowings and $117.5 million of availability as of August 2, 2024. Additionally, as of August 1, 2025, the Company had $240.5 million of term loan debt outstanding compared to $253.5 million outstanding as of August 2, 2024.</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During the second quarter of 2025, the Company repurchased $1.7 million of the Company’s common stock under its share repurchase program announced on March 15, 2024. As of August 1, 2025, additional purchases of up to $8.8 million could be made under the program through March 31,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Alternatives Process</w:t>
      </w:r>
    </w:p>
    <w:p>
      <w:pPr>
        <w:spacing w:after="0" w:line="23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On March 7, 2025, the Company announced that its Board of Directors initiated a process to explore strategic alternatives, including a sale, merger or similar transaction involving the Company to maximize shareholder value. This process remains ongoing. No assurances can be given as to the outcome or timing of the Board’s process. The Company does not intend to make any further public comment regarding the process until it determines that disclosure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Bernie McCracken, Chief Financial Officer, stated, “We were pleased with several key bright spots in the second quarter, including a gross margin increase of approximately 90 basis points, which highlights the strength of our approach and the results of our ongoing operational and financial discipline. Building on the work we have done over the last several years to evolve our supply chain, we are actively implementing mitigation measures designed to effectively manage anticipated tariff headwinds for the remainder of fiscal 2025. As such, our guidance reflects the expected impact of tariffs at current levels.”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For Third Quarter fiscal 2025 the Company expects:</w:t>
      </w:r>
    </w:p>
    <w:p>
      <w:pPr>
        <w:spacing w:after="0" w:line="2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to be between $320.0 million and $350.0 million.</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Merchandise Value to deliver mid to high-single digit growth.</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to be between $2.0 million and $6.0 million and diluted earnings per share to be between $0.07 and $0.19.</w:t>
      </w:r>
    </w:p>
    <w:p>
      <w:pPr>
        <w:ind w:left="760" w:right="100" w:hanging="378"/>
        <w:spacing w:after="0" w:line="243"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to be between $3.0 million and $7.0 million and Adjusted diluted earnings per share to be between $0.10 and $0.22.</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the range of $24.0 million to $28.0 million.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2025 the Company now expects:</w:t>
      </w:r>
    </w:p>
    <w:p>
      <w:pPr>
        <w:spacing w:after="0" w:line="2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to be between $1.33 billion and $1.40 billion.</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Merchandise Value to deliver low to mid-single digit growth.</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to be between $12.0 million and $20.0 million and diluted earnings per share to be between $0.39 and $0.65.</w:t>
      </w:r>
    </w:p>
    <w:p>
      <w:pPr>
        <w:ind w:left="760" w:right="240" w:hanging="378"/>
        <w:spacing w:after="0" w:line="243"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to be between $19.0 million and $27.0 million and Adjusted diluted earnings per share to be between $0.62 and $0.88.</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the range of $98.0 million to $107.0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full year, the Company’s guidance includes approximately $25.0 million of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1047115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33" w:lineRule="exact"/>
        <w:rPr>
          <w:sz w:val="20"/>
          <w:szCs w:val="20"/>
          <w:color w:val="auto"/>
        </w:rPr>
      </w:pPr>
    </w:p>
    <w:p>
      <w:pPr>
        <w:jc w:val="both"/>
        <w:ind w:right="80"/>
        <w:spacing w:after="0" w:line="295" w:lineRule="auto"/>
        <w:rPr>
          <w:sz w:val="20"/>
          <w:szCs w:val="20"/>
          <w:color w:val="auto"/>
        </w:rPr>
      </w:pPr>
      <w:r>
        <w:rPr>
          <w:rFonts w:ascii="Times New Roman" w:cs="Times New Roman" w:eastAsia="Times New Roman" w:hAnsi="Times New Roman"/>
          <w:sz w:val="19"/>
          <w:szCs w:val="19"/>
          <w:color w:val="auto"/>
        </w:rPr>
        <w:t>The Company will host a conference call on Tuesday, September 9, 2025, at 5:00 p.m. ET to review its second quarter financial results and related matters. The call may be accessed through the Investor Relations section of the Company’s website at http://investors.landsend.com.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Lands’ End, Inc.</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Lands’ End, Inc. (NASDAQ:LE) is a leading digital retailer of solution-based apparel, swimwear, outerwear, accessories, footwear, home products and uniforms. Lands’ End offers products online at </w:t>
      </w:r>
      <w:r>
        <w:rPr>
          <w:rFonts w:ascii="Times New Roman" w:cs="Times New Roman" w:eastAsia="Times New Roman" w:hAnsi="Times New Roman"/>
          <w:sz w:val="20"/>
          <w:szCs w:val="20"/>
          <w:i w:val="1"/>
          <w:iCs w:val="1"/>
          <w:color w:val="auto"/>
        </w:rPr>
        <w:t>www.landsend.com</w:t>
      </w:r>
      <w:r>
        <w:rPr>
          <w:rFonts w:ascii="Times New Roman" w:cs="Times New Roman" w:eastAsia="Times New Roman" w:hAnsi="Times New Roman"/>
          <w:sz w:val="20"/>
          <w:szCs w:val="20"/>
          <w:color w:val="auto"/>
        </w:rPr>
        <w:t>, through third-party distribution channels, our own Company Operated stores and third-party license agreements. Lands’ End also offers products to businesses and schools, for their employees and students, through the Outfitters distribution channel. Lands’ End is a classic American lifestyle brand that creates solutions for life’s every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forward-looking statements that involve risks and uncertainties, including statements regarding the Company’s assessment of business momentum and improvements in key product categories, channels and customer engagement; the Company’s confidence that its strategy is working; the ability of product assortment and an asset-light, low-intensity model to rapidly introduce new products that resonate with customers, drive high-quality sales, and deepen loyalty; the ability of Lands’ End Outfitters to deliver differentiated value; the Company’s inventory management strategy and inventory efficiency, and their impact and ability to position the Company to better navigate external pressures, including tariff-related impacts; the Company’s strategic alternatives process; the Company’s ongoing operational and financial discipline; Company measures to effectively manage anticipated tariff headwinds; the Company’s outlook and expectations as to Net revenue, Gross Merchandise Value, Net income, earnings per share, Adjusted net income, Adjusted earnings per share and Adjusted EBITDA for the third quarter of fiscal 2025 and for the full year of fiscal 2025, and capital expenditures for fiscal 2025; and the potential for additional purchases under the Company’s share repurchase program. The following important factors and uncertainties, among others, could cause actual results to differ materially from those described in these forward-looking statements: the Company’s results may be materially impacted if tariffs on imports to the United States increase and it is unable to offset the increased costs from current or future tariffs through pricing negotiations with its vendor base, moving production out of countries impacted by the tariffs, passing through a portion of the cost increases to the customer, or other savings opportunities; global supply chain challenges and their impact on inbound transportation costs and delays in receiving product; disruption in the Company’s supply chain, including with respect to its distribution centers, third-party manufacturing partners and logistics partners, caused by limits in freight capacity, increases in transportation costs, port congestion, other logistics constraints, and closure of certain manufacturing facilities and production lines due to public health crises and other global economic conditions; the impact of global economic conditions, including inflation, on consumer discretionary spending; the impact of public health crises on operations, customer demand and the Company’s supply chain, as well as its consolidated results of operation, financial position and cash flows; the Company may be unsuccessful in implementing its strategic initiatives, or its initiatives may not have their desired impact on its business; the Company’s ability to obtain additional financing on commercially acceptable terms or at all, including, the condition of the lending and debt markets; the Company’s ability to offer merchandise and services that customers want to purchase; changes in customer preference from the Company’s branded merchandise; customers’ use of the Company’s digital platform, including customer acceptance of its efforts to enhance its eCommerce websites, including the Outfitters website; customer response to the Company’s marketing efforts across all types of media; the Company’s maintenance of a robust customer list; the Company’s retail store strategy may be unsuccessful; the Company’s Third Party channel may not develop as planned or have its desired impact; the Company’s dependence on information technology; failure of information technology systems, including with respect to its eCommerce operations, or an inability to upgrade or adapt its systems; failure to adequately protect against cybersecurity threats or maintain the security and privacy of customer, employee or company information and the impact of cybersecurity events on the Company; fluctuations and increases in costs of raw materials as well as fluctuations in other production and distribution-related costs; impairment of the Company’s relationships with its vendors; the Company’s failure to compete effectively in the apparel industry; legal, regulatory, economic and political risks associated with international trade and those markets in which the Company conducts business and sources its merchandise; the Company’s failure to protect or preserve the image of its brands and its intellectual property rights; increases in postage, paper and printing costs; failure by third parties who provide the Company with services in connection with certain aspects of its business to perform their obligations; the Company’s failure to timely and effectively obtain shipments of products from its vendors and deliver merchandise to its customers; reliance on promotions and markdowns to encourage customer purchases; the Company’s failure to efficiently manage inventory levels; unseasonal or severe weather conditions; natural disasters, political crises or other catastrophic events; the adverse effect on the Company’s reputation if its independent vendors or licensees do not use ethical business practices or comply with contractual obligations, applicable laws and regulations; assessments for additional state taxes; incurrence of charges due to impairment of other intangible assets and long-lived assets; the impact on the Company’s business of adverse worldwide economic and market conditions, including inflation and other economic factors that negatively impact consumer spending on discretionary items; the stock repurchase program may not be executed to the full extent within its duration, due to business or market conditions or Company credit facility limitations; the ability of the Company’s principal stockholders to exert substantial influence over the Company; the outcome and timing of the strategic alternatives process announced on March 7, 2025, which may be suspended or modified at any time, the possibility that the Board of Directors may decide not to undertake a sale or particular strategic transaction following such process, the Company’s inability to consummate any proposed strategic alternative resulting from the process due to, among other things, market, regulatory or other factors,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8" w:name="page9"/>
    <w:bookmarkEnd w:id="8"/>
    <w:p>
      <w:pPr>
        <w:spacing w:after="0" w:line="263" w:lineRule="auto"/>
        <w:rPr>
          <w:sz w:val="20"/>
          <w:szCs w:val="20"/>
          <w:color w:val="auto"/>
        </w:rPr>
      </w:pPr>
      <w:r>
        <w:rPr>
          <w:rFonts w:ascii="Times New Roman" w:cs="Times New Roman" w:eastAsia="Times New Roman" w:hAnsi="Times New Roman"/>
          <w:sz w:val="19"/>
          <w:szCs w:val="19"/>
          <w:color w:val="auto"/>
        </w:rPr>
        <w:t>potential for disruption to our business resulting from the process, potential adverse effects on our stock price from the strategic alternatives review announcement, and suspension or consummation of the strategic alternatives review process; and other risks, uncertainties and factors discussed in the “Risk Factors” sections of the Company’s Annual Report on Form 10-K for the fiscal year ended January 31, 2025 and Quarterly Report on Form 10-Q for the quarter ended May 2, 2025. The Company intends the forward-looking statements to speak only as of the time made and does not undertake to update or revise them as more information becomes available, except as required by law.</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 End,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Bernard McCracken</w:t>
      </w: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color w:val="auto"/>
        </w:rPr>
        <w:t>(608) 935-4100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Inc.</w:t>
      </w:r>
    </w:p>
    <w:p>
      <w:pPr>
        <w:spacing w:after="0"/>
        <w:rPr>
          <w:sz w:val="20"/>
          <w:szCs w:val="20"/>
          <w:color w:val="auto"/>
        </w:rPr>
      </w:pPr>
      <w:r>
        <w:rPr>
          <w:rFonts w:ascii="Times New Roman" w:cs="Times New Roman" w:eastAsia="Times New Roman" w:hAnsi="Times New Roman"/>
          <w:sz w:val="20"/>
          <w:szCs w:val="20"/>
          <w:color w:val="auto"/>
        </w:rPr>
        <w:t>Tom Filandro</w:t>
      </w:r>
    </w:p>
    <w:p>
      <w:pPr>
        <w:ind w:right="9080" w:firstLine="8"/>
        <w:spacing w:after="0" w:line="271" w:lineRule="auto"/>
        <w:tabs>
          <w:tab w:leader="none" w:pos="47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277-1235 Tom.Filandro@icrinc.com</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1, 2025</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47,839</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301,797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265,132</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tcPr>
          <w:p>
            <w:pPr>
              <w:spacing w:after="0"/>
              <w:rPr>
                <w:sz w:val="18"/>
                <w:szCs w:val="18"/>
                <w:color w:val="auto"/>
              </w:rPr>
            </w:pPr>
          </w:p>
        </w:tc>
      </w:tr>
      <w:tr>
        <w:trPr>
          <w:trHeight w:val="210"/>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405,062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370,480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115,618</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2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800,641</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802,516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765,481</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111,353</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85,084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98,736</w:t>
            </w:r>
          </w:p>
        </w:tc>
        <w:tc>
          <w:tcPr>
            <w:tcW w:w="120" w:type="dxa"/>
            <w:vAlign w:val="bottom"/>
          </w:tcPr>
          <w:p>
            <w:pPr>
              <w:spacing w:after="0"/>
              <w:rPr>
                <w:sz w:val="18"/>
                <w:szCs w:val="18"/>
                <w:color w:val="auto"/>
              </w:rPr>
            </w:pPr>
          </w:p>
        </w:tc>
      </w:tr>
      <w:tr>
        <w:trPr>
          <w:trHeight w:val="209"/>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250,539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227,623</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ABL Facility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219,550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224,888</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18"/>
                <w:szCs w:val="18"/>
                <w:color w:val="auto"/>
              </w:rPr>
            </w:pPr>
          </w:p>
        </w:tc>
      </w:tr>
      <w:tr>
        <w:trPr>
          <w:trHeight w:val="210"/>
        </w:trPr>
        <w:tc>
          <w:tcPr>
            <w:tcW w:w="6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575,517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576,002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6400" w:type="dxa"/>
            <w:vAlign w:val="bottom"/>
            <w:shd w:val="clear" w:color="auto" w:fill="CFF0FC"/>
          </w:tcPr>
          <w:p>
            <w:pPr>
              <w:ind w:left="24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480,000 shares;</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and outstanding: 30,517, 31,256 and 30,843, respectively</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FF0FC"/>
          </w:tcPr>
          <w:p>
            <w:pPr>
              <w:spacing w:after="0"/>
              <w:rPr>
                <w:sz w:val="20"/>
                <w:szCs w:val="20"/>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346,841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349,940</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(106,287)</w:t>
            </w: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(112,284)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(94,358)</w:t>
            </w: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(15,736)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(16,669)</w:t>
            </w:r>
          </w:p>
        </w:tc>
      </w:tr>
      <w:tr>
        <w:trPr>
          <w:trHeight w:val="210"/>
        </w:trPr>
        <w:tc>
          <w:tcPr>
            <w:tcW w:w="6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225,124</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800,641</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802,516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765,481</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1"/>
        </w:trPr>
        <w:tc>
          <w:tcPr>
            <w:tcW w:w="6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-4028440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-4028440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-4028440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-2056765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-2056765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-1079500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 Weeks Ended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6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0"/>
                <w:szCs w:val="20"/>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294,079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317,173</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555,287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602,644</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279,143</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311,779</w:t>
            </w:r>
          </w:p>
        </w:tc>
        <w:tc>
          <w:tcPr>
            <w:tcW w:w="100" w:type="dxa"/>
            <w:vAlign w:val="bottom"/>
          </w:tcPr>
          <w:p>
            <w:pPr>
              <w:spacing w:after="0"/>
              <w:rPr>
                <w:sz w:val="18"/>
                <w:szCs w:val="18"/>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151,885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276,144</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290,865</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252,818</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262,911</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(5,276)</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(16,900)</w:t>
            </w:r>
          </w:p>
        </w:tc>
        <w:tc>
          <w:tcPr>
            <w:tcW w:w="6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(15,892)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(4,971)</w:t>
            </w:r>
          </w:p>
        </w:tc>
        <w:tc>
          <w:tcPr>
            <w:tcW w:w="6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(4,199)</w:t>
            </w: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(3,667)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(5,251)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(11,929)</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(11,693)</w:t>
            </w:r>
          </w:p>
        </w:tc>
      </w:tr>
      <w:tr>
        <w:trPr>
          <w:trHeight w:val="197"/>
        </w:trPr>
        <w:tc>
          <w:tcPr>
            <w:tcW w:w="48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(0.39)</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(0.39)</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00" w:type="dxa"/>
            <w:vAlign w:val="bottom"/>
            <w:shd w:val="clear" w:color="auto" w:fill="CFF0FC"/>
          </w:tcPr>
          <w:p>
            <w:pPr>
              <w:spacing w:after="0"/>
              <w:rPr>
                <w:sz w:val="18"/>
                <w:szCs w:val="18"/>
                <w:color w:val="auto"/>
              </w:rPr>
            </w:pPr>
          </w:p>
        </w:tc>
      </w:tr>
      <w:tr>
        <w:trPr>
          <w:trHeight w:val="1654"/>
        </w:trPr>
        <w:tc>
          <w:tcPr>
            <w:tcW w:w="4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-3034030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-3034030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-3034030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-2185670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-2167890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-2185670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-2167890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-2185670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-2167890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Definitions, Reconciliations and Uses of Non-GAAP Financial Measures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w:t>
      </w:r>
    </w:p>
    <w:p>
      <w:pPr>
        <w:spacing w:after="0" w:line="188" w:lineRule="exact"/>
        <w:rPr>
          <w:sz w:val="20"/>
          <w:szCs w:val="20"/>
          <w:color w:val="auto"/>
        </w:rPr>
      </w:pPr>
    </w:p>
    <w:p>
      <w:pPr>
        <w:jc w:val="both"/>
        <w:ind w:left="1020" w:hanging="503"/>
        <w:spacing w:after="0" w:line="254" w:lineRule="auto"/>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spacing w:after="0" w:line="188" w:lineRule="exact"/>
        <w:rPr>
          <w:sz w:val="20"/>
          <w:szCs w:val="20"/>
          <w:color w:val="auto"/>
        </w:rPr>
      </w:pPr>
    </w:p>
    <w:p>
      <w:pPr>
        <w:jc w:val="both"/>
        <w:ind w:left="1500" w:hanging="369"/>
        <w:spacing w:after="0" w:line="254" w:lineRule="auto"/>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restructuring - primarily severance and benefit costs as well as costs related to the strategic alternative exploration for the 13 and 26 weeks ended August 1, 2025. Primarily severance and benefit costs for the 13 and 26 weeks ended August 2, 2024.</w:t>
      </w:r>
    </w:p>
    <w:p>
      <w:pPr>
        <w:spacing w:after="0" w:line="187"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Long-lived asset impairment - charges associated with the non-cash write down of certain long-lived assets for the 26 weeks ended August 2, 2024.</w:t>
      </w:r>
    </w:p>
    <w:p>
      <w:pPr>
        <w:spacing w:after="0" w:line="17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Exit costs - charges associated to exit kids and footwear lines of business including inventory excess and obsolescence reserves, inventory discounts and operational charges recorded in the 26 weeks ended August 1, 2025 and the 13 and 26 weeks ended in August 2, 2024 in conjunction with our licensing arrangements commencing in Fiscal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for the periods indicated, a reconciliation of Net loss to Adjusted net loss and Adjusted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August 1, 2025</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18"/>
                <w:szCs w:val="18"/>
                <w:color w:val="auto"/>
              </w:rPr>
            </w:pPr>
          </w:p>
        </w:tc>
      </w:tr>
      <w:tr>
        <w:trPr>
          <w:trHeight w:val="20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(3,667)</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(5,251)</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restructuring</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3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Exit costs</w:t>
            </w:r>
          </w:p>
        </w:tc>
        <w:tc>
          <w:tcPr>
            <w:tcW w:w="300" w:type="dxa"/>
            <w:vAlign w:val="bottom"/>
          </w:tcPr>
          <w:p>
            <w:pPr>
              <w:spacing w:after="0"/>
              <w:rPr>
                <w:sz w:val="18"/>
                <w:szCs w:val="18"/>
                <w:color w:val="auto"/>
              </w:rPr>
            </w:pP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effects on adjustments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(619)</w:t>
            </w:r>
          </w:p>
        </w:tc>
        <w:tc>
          <w:tcPr>
            <w:tcW w:w="5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w:t>
            </w:r>
          </w:p>
        </w:tc>
      </w:tr>
      <w:tr>
        <w:trPr>
          <w:trHeight w:val="20"/>
        </w:trPr>
        <w:tc>
          <w:tcPr>
            <w:tcW w:w="6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DILUTED LOSS PER SHARE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500" w:type="dxa"/>
            <w:vAlign w:val="bottom"/>
            <w:shd w:val="clear" w:color="auto" w:fill="CFF0FC"/>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(0.02)</w:t>
            </w:r>
          </w:p>
        </w:tc>
      </w:tr>
      <w:tr>
        <w:trPr>
          <w:trHeight w:val="197"/>
        </w:trPr>
        <w:tc>
          <w:tcPr>
            <w:tcW w:w="62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-607695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-299720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-282575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The tax impact of adjustments is calculated at the applicable U.S. and non-U.S. Federal and State statutory rates.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26 Weeks Ended</w:t>
            </w:r>
          </w:p>
        </w:tc>
        <w:tc>
          <w:tcPr>
            <w:tcW w:w="1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00" w:type="dxa"/>
            <w:vAlign w:val="bottom"/>
          </w:tcPr>
          <w:p>
            <w:pPr>
              <w:spacing w:after="0"/>
              <w:rPr>
                <w:sz w:val="18"/>
                <w:szCs w:val="18"/>
                <w:color w:val="auto"/>
              </w:rPr>
            </w:pPr>
          </w:p>
        </w:tc>
        <w:tc>
          <w:tcPr>
            <w:tcW w:w="2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August 1, 2025</w:t>
            </w:r>
          </w:p>
        </w:tc>
        <w:tc>
          <w:tcPr>
            <w:tcW w:w="500" w:type="dxa"/>
            <w:vAlign w:val="bottom"/>
          </w:tcPr>
          <w:p>
            <w:pPr>
              <w:spacing w:after="0"/>
              <w:rPr>
                <w:sz w:val="18"/>
                <w:szCs w:val="18"/>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18"/>
                <w:szCs w:val="18"/>
                <w:color w:val="auto"/>
              </w:rPr>
            </w:pPr>
          </w:p>
        </w:tc>
      </w:tr>
      <w:tr>
        <w:trPr>
          <w:trHeight w:val="210"/>
        </w:trPr>
        <w:tc>
          <w:tcPr>
            <w:tcW w:w="6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restructuring</w:t>
            </w: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Exit costs</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3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effects on adjustments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(1,365)</w:t>
            </w:r>
          </w:p>
        </w:tc>
        <w:tc>
          <w:tcPr>
            <w:tcW w:w="50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(7,271)</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(6,905)</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64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DILUTED LOSS PER SHARE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-462280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-445135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tax impact of adjustments is calculated at the applicable U.S. and non-U.S. Federal and State statutory rates.</w:t>
      </w: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Adjusted EBITDA is a non-GAAP measurement, management believes that it is an important indicator of operating performance, and is useful to investors, because EBITDA excludes the effects of financings, investing activities and tax structure by eliminating the effects of interest, depreciation and income tax.</w:t>
      </w:r>
    </w:p>
    <w:p>
      <w:pPr>
        <w:spacing w:after="0" w:line="188" w:lineRule="exact"/>
        <w:rPr>
          <w:sz w:val="20"/>
          <w:szCs w:val="20"/>
          <w:color w:val="auto"/>
        </w:rPr>
      </w:pPr>
    </w:p>
    <w:p>
      <w:pPr>
        <w:ind w:left="760" w:right="20" w:hanging="378"/>
        <w:spacing w:after="0" w:line="26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significant items, while periodically affecting our results, may vary significantly from period to period and have a disproportionate effect in a given period, which affects comparability of results and are described below:</w:t>
      </w:r>
    </w:p>
    <w:p>
      <w:pPr>
        <w:spacing w:after="0" w:line="173" w:lineRule="exact"/>
        <w:rPr>
          <w:sz w:val="20"/>
          <w:szCs w:val="20"/>
          <w:color w:val="auto"/>
        </w:rPr>
      </w:pPr>
    </w:p>
    <w:p>
      <w:pPr>
        <w:jc w:val="both"/>
        <w:ind w:left="1500" w:hanging="369"/>
        <w:spacing w:after="0" w:line="254" w:lineRule="auto"/>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restructuring - primarily severance and benefit costs as well as costs related to the strategic alternative exploration for the 13 and 26 weeks ended August 1, 2025. Primarily severance and benefit costs for the 13 and 26 weeks ended August 2, 2024.</w:t>
      </w:r>
    </w:p>
    <w:p>
      <w:pPr>
        <w:spacing w:after="0" w:line="187"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Long-lived asset impairment - charges associated with the non-cash write down of certain long-lived assets for the 26 weeks ended August 2, 2024.</w:t>
      </w:r>
    </w:p>
    <w:p>
      <w:pPr>
        <w:spacing w:after="0" w:line="17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Exit costs - charges associated to exit kids and footwear lines of business including inventory excess and obsolescence reserves, inventory discounts and operational charges recorded in the 26 weeks ended August 1, 2025 and the 13 and 26 weeks ended August 2, 2024 in conjunction with our licensing arrangements commencing in Fiscal 2024.</w:t>
      </w:r>
    </w:p>
    <w:p>
      <w:pPr>
        <w:spacing w:after="0" w:line="1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tables set forth, for the periods indicated, selected income statement data, both in dollars and as a percentage of Net revenue and a 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August 1, 2025</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(3,667)</w:t>
            </w: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(5,251)</w:t>
            </w: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(1,609)</w:t>
            </w:r>
          </w:p>
        </w:tc>
        <w:tc>
          <w:tcPr>
            <w:tcW w:w="6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(2,626)</w:t>
            </w:r>
          </w:p>
        </w:tc>
        <w:tc>
          <w:tcPr>
            <w:tcW w:w="6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restructuring</w:t>
            </w: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Exit costs</w:t>
            </w:r>
          </w:p>
        </w:tc>
        <w:tc>
          <w:tcPr>
            <w:tcW w:w="340" w:type="dxa"/>
            <w:vAlign w:val="bottom"/>
          </w:tcPr>
          <w:p>
            <w:pPr>
              <w:spacing w:after="0"/>
              <w:rPr>
                <w:sz w:val="18"/>
                <w:szCs w:val="18"/>
                <w:color w:val="auto"/>
              </w:rPr>
            </w:pPr>
          </w:p>
        </w:tc>
        <w:tc>
          <w:tcPr>
            <w:tcW w:w="15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34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-864870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146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-864870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-864870</wp:posOffset>
            </wp:positionV>
            <wp:extent cx="1454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1460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 Weeks Ended</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August 1, 2025</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(11,929)</w:t>
            </w: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(11,693)</w:t>
            </w: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(4,971)</w:t>
            </w:r>
          </w:p>
        </w:tc>
        <w:tc>
          <w:tcPr>
            <w:tcW w:w="6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(4,199)</w:t>
            </w:r>
          </w:p>
        </w:tc>
        <w:tc>
          <w:tcPr>
            <w:tcW w:w="6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6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restructuring</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Exit costs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3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23,583</w:t>
            </w:r>
          </w:p>
        </w:tc>
        <w:tc>
          <w:tcPr>
            <w:tcW w:w="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r>
      <w:tr>
        <w:trPr>
          <w:trHeight w:val="1392"/>
        </w:trPr>
        <w:tc>
          <w:tcPr>
            <w:tcW w:w="55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-1774190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-1774190</wp:posOffset>
            </wp:positionV>
            <wp:extent cx="146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-1774190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-1774190</wp:posOffset>
            </wp:positionV>
            <wp:extent cx="145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-934085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-916940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-934085</wp:posOffset>
            </wp:positionV>
            <wp:extent cx="1460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-916940</wp:posOffset>
            </wp:positionV>
            <wp:extent cx="146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-934085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-916940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-934085</wp:posOffset>
            </wp:positionV>
            <wp:extent cx="1454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-916940</wp:posOffset>
            </wp:positionV>
            <wp:extent cx="145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Third Quarter Fiscal 2025 Guidance Adjusted EBITDA</w:t>
            </w:r>
          </w:p>
        </w:tc>
        <w:tc>
          <w:tcPr>
            <w:tcW w:w="1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interest, other income, taxes and other significant items</w:t>
            </w:r>
          </w:p>
        </w:tc>
        <w:tc>
          <w:tcPr>
            <w:tcW w:w="1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9"/>
                <w:szCs w:val="19"/>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Third Quarter Fiscal 2025 Guidance Adjusted Net Income and Adjusted Diluted Earnings per Share</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significant items</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4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r>
      <w:tr>
        <w:trPr>
          <w:trHeight w:val="197"/>
        </w:trPr>
        <w:tc>
          <w:tcPr>
            <w:tcW w:w="80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-299720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-282575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2025 Guidance Adjusted EBITDA</w:t>
            </w:r>
          </w:p>
        </w:tc>
        <w:tc>
          <w:tcPr>
            <w:tcW w:w="1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January 30, 2026</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interest, other income, taxes and other significant items</w:t>
            </w:r>
          </w:p>
        </w:tc>
        <w:tc>
          <w:tcPr>
            <w:tcW w:w="1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FF0FC"/>
          </w:tcPr>
          <w:p>
            <w:pPr>
              <w:spacing w:after="0"/>
              <w:rPr>
                <w:sz w:val="19"/>
                <w:szCs w:val="19"/>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2025 Guidance Adjusted Net Income and Adjusted Diluted Earnings per Share</w:t>
            </w:r>
          </w:p>
        </w:tc>
        <w:tc>
          <w:tcPr>
            <w:tcW w:w="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January 30, 2026</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significant items</w:t>
            </w: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4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21"/>
                <w:szCs w:val="21"/>
                <w:color w:val="auto"/>
              </w:rPr>
            </w:pPr>
          </w:p>
        </w:tc>
      </w:tr>
      <w:tr>
        <w:trPr>
          <w:trHeight w:val="197"/>
        </w:trPr>
        <w:tc>
          <w:tcPr>
            <w:tcW w:w="744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FF0FC"/>
          </w:tcPr>
          <w:p>
            <w:pPr>
              <w:spacing w:after="0"/>
              <w:rPr>
                <w:sz w:val="18"/>
                <w:szCs w:val="18"/>
                <w:color w:val="auto"/>
              </w:rPr>
            </w:pPr>
          </w:p>
        </w:tc>
      </w:tr>
      <w:tr>
        <w:trPr>
          <w:trHeight w:val="3355"/>
        </w:trPr>
        <w:tc>
          <w:tcPr>
            <w:tcW w:w="7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-2442845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-2425065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26 Weeks Ended</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August 1, 2025</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(11,693)</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(10,346)</w:t>
            </w:r>
          </w:p>
        </w:tc>
        <w:tc>
          <w:tcPr>
            <w:tcW w:w="0" w:type="dxa"/>
            <w:vAlign w:val="bottom"/>
          </w:tcPr>
          <w:p>
            <w:pPr>
              <w:spacing w:after="0"/>
              <w:rPr>
                <w:sz w:val="1"/>
                <w:szCs w:val="1"/>
                <w:color w:val="auto"/>
              </w:rPr>
            </w:pPr>
          </w:p>
        </w:tc>
      </w:tr>
      <w:tr>
        <w:trPr>
          <w:trHeight w:val="216"/>
        </w:trPr>
        <w:tc>
          <w:tcPr>
            <w:tcW w:w="7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operating assets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16"/>
        </w:trPr>
        <w:tc>
          <w:tcPr>
            <w:tcW w:w="7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(17,497)</w:t>
            </w:r>
          </w:p>
        </w:tc>
        <w:tc>
          <w:tcPr>
            <w:tcW w:w="0" w:type="dxa"/>
            <w:vAlign w:val="bottom"/>
          </w:tcPr>
          <w:p>
            <w:pPr>
              <w:spacing w:after="0"/>
              <w:rPr>
                <w:sz w:val="1"/>
                <w:szCs w:val="1"/>
                <w:color w:val="auto"/>
              </w:rPr>
            </w:pPr>
          </w:p>
        </w:tc>
      </w:tr>
      <w:tr>
        <w:trPr>
          <w:trHeight w:val="209"/>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(17,152)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(11,450)</w:t>
            </w:r>
          </w:p>
        </w:tc>
        <w:tc>
          <w:tcPr>
            <w:tcW w:w="0" w:type="dxa"/>
            <w:vAlign w:val="bottom"/>
          </w:tcPr>
          <w:p>
            <w:pPr>
              <w:spacing w:after="0"/>
              <w:rPr>
                <w:sz w:val="1"/>
                <w:szCs w:val="1"/>
                <w:color w:val="auto"/>
              </w:rPr>
            </w:pP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Proceeds from borrowings under ABL Facility</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of borrowings under ABL Facility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Payments on term loan</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and retirement of common stock, including excise tax paid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IN CASH, CASH EQUIVALENTS AND</w:t>
            </w:r>
          </w:p>
        </w:tc>
        <w:tc>
          <w:tcPr>
            <w:tcW w:w="1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23,546</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(refunded) paid</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right-of-use-assets obtained in exchange for lease liabilities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7"/>
        </w:trPr>
        <w:tc>
          <w:tcPr>
            <w:tcW w:w="7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-4002405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-2322195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-1482090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-1465580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-1465580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endash "/>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646"/>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2025-09-09T15:21:22Z</dcterms:created>
  <dcterms:modified xsi:type="dcterms:W3CDTF">2025-09-09T15:21:22Z</dcterms:modified>
</cp:coreProperties>
</file>