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5714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71436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35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GRAY PETER L</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 LANDS' END LANE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LANDS' END,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484"/>
        <w:spacing w:after="0"/>
        <w:rPr>
          <w:sz w:val="20"/>
          <w:szCs w:val="20"/>
          <w:color w:val="auto"/>
        </w:rPr>
      </w:pPr>
      <w:r>
        <w:rPr>
          <w:rFonts w:ascii="Times New Roman" w:cs="Times New Roman" w:eastAsia="Times New Roman" w:hAnsi="Times New Roman"/>
          <w:sz w:val="17"/>
          <w:szCs w:val="17"/>
          <w:color w:val="0000FF"/>
        </w:rPr>
        <w:t>PRES LE Licensing, CAO &amp; GC</w:t>
      </w:r>
    </w:p>
    <w:p>
      <w:pPr>
        <w:spacing w:after="0" w:line="305" w:lineRule="exact"/>
        <w:rPr>
          <w:sz w:val="24"/>
          <w:szCs w:val="24"/>
          <w:color w:val="auto"/>
        </w:rPr>
      </w:pPr>
    </w:p>
    <w:p>
      <w:pPr>
        <w:sectPr>
          <w:pgSz w:w="11900" w:h="16838" w:orient="portrait"/>
          <w:cols w:equalWidth="0" w:num="3">
            <w:col w:w="3180" w:space="720"/>
            <w:col w:w="3116" w:space="720"/>
            <w:col w:w="3344"/>
          </w:cols>
          <w:pgMar w:left="460" w:top="216" w:right="359" w:bottom="35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720" w:type="dxa"/>
            <w:vAlign w:val="bottom"/>
            <w:gridSpan w:val="6"/>
            <w:vMerge w:val="restart"/>
          </w:tcPr>
          <w:p>
            <w:pPr>
              <w:jc w:val="center"/>
              <w:ind w:right="134"/>
              <w:spacing w:after="0"/>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720" w:type="dxa"/>
            <w:vAlign w:val="bottom"/>
            <w:gridSpan w:val="6"/>
            <w:vMerge w:val="continue"/>
          </w:tcPr>
          <w:p>
            <w:pPr>
              <w:spacing w:after="0"/>
              <w:rPr>
                <w:sz w:val="7"/>
                <w:szCs w:val="7"/>
                <w:color w:val="auto"/>
              </w:rPr>
            </w:pPr>
          </w:p>
        </w:tc>
        <w:tc>
          <w:tcPr>
            <w:tcW w:w="36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DODGEVILLE  WI</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53595</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jc w:val="center"/>
              <w:ind w:left="609"/>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jc w:val="center"/>
              <w:ind w:right="34"/>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04/01/2026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Borders>
              <w:bottom w:val="single" w:sz="8" w:color="2C2C2C"/>
            </w:tcBorders>
          </w:tcPr>
          <w:p>
            <w:pPr>
              <w:jc w:val="center"/>
              <w:ind w:left="73"/>
              <w:spacing w:after="0"/>
              <w:rPr>
                <w:sz w:val="20"/>
                <w:szCs w:val="20"/>
                <w:color w:val="auto"/>
              </w:rPr>
            </w:pPr>
            <w:r>
              <w:rPr>
                <w:rFonts w:ascii="Times New Roman" w:cs="Times New Roman" w:eastAsia="Times New Roman" w:hAnsi="Times New Roman"/>
                <w:sz w:val="17"/>
                <w:szCs w:val="17"/>
                <w:color w:val="0000FF"/>
                <w:w w:val="94"/>
              </w:rPr>
              <w:t>11,454</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34"/>
              <w:spacing w:after="0" w:line="305" w:lineRule="exact"/>
              <w:rPr>
                <w:sz w:val="20"/>
                <w:szCs w:val="20"/>
                <w:color w:val="auto"/>
              </w:rPr>
            </w:pPr>
            <w:r>
              <w:rPr>
                <w:rFonts w:ascii="Arial" w:cs="Arial" w:eastAsia="Arial" w:hAnsi="Arial"/>
                <w:sz w:val="33"/>
                <w:szCs w:val="33"/>
                <w:color w:val="000000"/>
                <w:w w:val="80"/>
                <w:vertAlign w:val="subscript"/>
              </w:rPr>
              <w:t>$</w:t>
            </w:r>
            <w:r>
              <w:rPr>
                <w:rFonts w:ascii="Times New Roman" w:cs="Times New Roman" w:eastAsia="Times New Roman" w:hAnsi="Times New Roman"/>
                <w:sz w:val="33"/>
                <w:szCs w:val="33"/>
                <w:color w:val="0000FF"/>
                <w:w w:val="80"/>
                <w:vertAlign w:val="subscript"/>
              </w:rPr>
              <w:t>45</w:t>
            </w:r>
            <w:r>
              <w:rPr>
                <w:rFonts w:ascii="Times New Roman" w:cs="Times New Roman" w:eastAsia="Times New Roman" w:hAnsi="Times New Roman"/>
                <w:sz w:val="11"/>
                <w:szCs w:val="11"/>
                <w:color w:val="008000"/>
                <w:w w:val="80"/>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139,279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04/01/2026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w w:val="86"/>
              </w:rPr>
              <w:t>M</w:t>
            </w:r>
          </w:p>
        </w:tc>
        <w:tc>
          <w:tcPr>
            <w:tcW w:w="740" w:type="dxa"/>
            <w:vAlign w:val="bottom"/>
            <w:tcBorders>
              <w:bottom w:val="single" w:sz="8" w:color="2C2C2C"/>
            </w:tcBorders>
          </w:tcPr>
          <w:p>
            <w:pPr>
              <w:jc w:val="center"/>
              <w:ind w:left="73"/>
              <w:spacing w:after="0"/>
              <w:rPr>
                <w:sz w:val="20"/>
                <w:szCs w:val="20"/>
                <w:color w:val="auto"/>
              </w:rPr>
            </w:pPr>
            <w:r>
              <w:rPr>
                <w:rFonts w:ascii="Times New Roman" w:cs="Times New Roman" w:eastAsia="Times New Roman" w:hAnsi="Times New Roman"/>
                <w:sz w:val="17"/>
                <w:szCs w:val="17"/>
                <w:color w:val="0000FF"/>
                <w:w w:val="93"/>
              </w:rPr>
              <w:t>6,565</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4"/>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145,844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04/01/2026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w w:val="82"/>
              </w:rPr>
              <w:t>F</w:t>
            </w:r>
          </w:p>
        </w:tc>
        <w:tc>
          <w:tcPr>
            <w:tcW w:w="74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1"/>
              </w:rPr>
              <w:t>3,233</w:t>
            </w:r>
            <w:r>
              <w:rPr>
                <w:rFonts w:ascii="Times New Roman" w:cs="Times New Roman" w:eastAsia="Times New Roman" w:hAnsi="Times New Roman"/>
                <w:sz w:val="21"/>
                <w:szCs w:val="21"/>
                <w:color w:val="008000"/>
                <w:w w:val="91"/>
                <w:vertAlign w:val="superscript"/>
              </w:rPr>
              <w:t>(2)</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11.56</w:t>
            </w: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142,611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04/01/2026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1"/>
              </w:rPr>
              <w:t>17,400</w:t>
            </w:r>
            <w:r>
              <w:rPr>
                <w:rFonts w:ascii="Times New Roman" w:cs="Times New Roman" w:eastAsia="Times New Roman" w:hAnsi="Times New Roman"/>
                <w:sz w:val="21"/>
                <w:szCs w:val="21"/>
                <w:color w:val="008000"/>
                <w:w w:val="91"/>
                <w:vertAlign w:val="superscript"/>
              </w:rPr>
              <w:t>(4)</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160,011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04/01/2026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w w:val="82"/>
              </w:rPr>
              <w:t>F</w:t>
            </w:r>
          </w:p>
        </w:tc>
        <w:tc>
          <w:tcPr>
            <w:tcW w:w="74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1"/>
              </w:rPr>
              <w:t>8,568</w:t>
            </w:r>
            <w:r>
              <w:rPr>
                <w:rFonts w:ascii="Times New Roman" w:cs="Times New Roman" w:eastAsia="Times New Roman" w:hAnsi="Times New Roman"/>
                <w:sz w:val="21"/>
                <w:szCs w:val="21"/>
                <w:color w:val="008000"/>
                <w:w w:val="91"/>
                <w:vertAlign w:val="superscript"/>
              </w:rPr>
              <w:t>(2)</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11.56</w:t>
            </w: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151,443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0"/>
          </w:tcPr>
          <w:p>
            <w:pPr>
              <w:jc w:val="center"/>
              <w:ind w:left="449"/>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ind w:right="33"/>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2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6,565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5"/>
                <w:szCs w:val="5"/>
                <w:color w:val="auto"/>
              </w:rPr>
            </w:pPr>
          </w:p>
        </w:tc>
        <w:tc>
          <w:tcPr>
            <w:tcW w:w="44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6,565</w:t>
            </w: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87,910</w:t>
            </w:r>
          </w:p>
        </w:tc>
        <w:tc>
          <w:tcPr>
            <w:tcW w:w="26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2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17,400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jc w:val="center"/>
              <w:ind w:right="103"/>
              <w:spacing w:after="0"/>
              <w:rPr>
                <w:sz w:val="20"/>
                <w:szCs w:val="20"/>
                <w:color w:val="auto"/>
              </w:rPr>
            </w:pPr>
            <w:r>
              <w:rPr>
                <w:rFonts w:ascii="Times New Roman" w:cs="Times New Roman" w:eastAsia="Times New Roman" w:hAnsi="Times New Roman"/>
                <w:sz w:val="13"/>
                <w:szCs w:val="13"/>
                <w:color w:val="0000FF"/>
              </w:rPr>
              <w:t>105,310</w:t>
            </w:r>
            <w:r>
              <w:rPr>
                <w:rFonts w:ascii="Times New Roman" w:cs="Times New Roman" w:eastAsia="Times New Roman" w:hAnsi="Times New Roman"/>
                <w:sz w:val="21"/>
                <w:szCs w:val="21"/>
                <w:color w:val="008000"/>
                <w:vertAlign w:val="superscript"/>
              </w:rPr>
              <w:t>(7)</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17,400</w:t>
            </w:r>
          </w:p>
        </w:tc>
        <w:tc>
          <w:tcPr>
            <w:tcW w:w="4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jc w:val="center"/>
              <w:ind w:right="54"/>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-2176145</wp:posOffset>
            </wp:positionV>
            <wp:extent cx="29210" cy="2181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1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common stock upon satisfaction of the vesting conditions.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the issuer to satisfy reporting person's tax withholding obligation incurred in connection with the vesting of RSUs.</w:t>
      </w:r>
    </w:p>
    <w:p>
      <w:pPr>
        <w:spacing w:after="0" w:line="41" w:lineRule="exact"/>
        <w:rPr>
          <w:rFonts w:ascii="Times New Roman" w:cs="Times New Roman" w:eastAsia="Times New Roman" w:hAnsi="Times New Roman"/>
          <w:sz w:val="13"/>
          <w:szCs w:val="13"/>
          <w:color w:val="008000"/>
        </w:rPr>
      </w:pPr>
    </w:p>
    <w:p>
      <w:pPr>
        <w:ind w:left="40" w:right="380"/>
        <w:spacing w:after="0" w:line="288"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sold pursuant to the tender offer by LEWHP, LLC, a wholly owned indirect subsidiary of WH Topco, L.P., to purchase up to 2,222,222 of the outstanding shares of common stock of the Registrant, in exchange for $45.00 per share in cash, upon the terms and subject to the conditions set forth in the Offer to Purchase, dated February 26, 2026 (as amended), and the related Letter of Transmittal.</w:t>
      </w:r>
    </w:p>
    <w:p>
      <w:pPr>
        <w:ind w:left="40" w:right="180"/>
        <w:spacing w:after="0" w:line="235"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issued upon the April 1, 2026 closing (the "Closing") of the Membership Interest Purchase Agreement by and among the Registrant, Lands' End Direct Merchants, Inc., WH Borrower, LLC, WH Topco, L.P., and LEWHP LLC, dated January 26, 2026, pursuant to the performance-based RSUs awarded on April 4, 2025, as modified March 5, 2026 (the "Retention Award"). Pursuant to the terms of the Retention Award, fifty percent (50%) of the Retention Award vested upon the Closing, twenty-five percent (25%) will vest upon the one-year anniversary of the Closing and twenty-five percent (25%) will vest on December 31, 2027, subject in each case to the satisfaction of vesting conditions, including maintaining a continuous business relationship through the applicable vesting date.</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RSU award was granted on April 1, 2024, with vesting in three installments on April 1, 2025 (25%), April 1, 2026 (25%) and April 1, 2027 (50%).</w:t>
      </w:r>
    </w:p>
    <w:p>
      <w:pPr>
        <w:spacing w:after="0" w:line="41" w:lineRule="exact"/>
        <w:rPr>
          <w:rFonts w:ascii="Times New Roman" w:cs="Times New Roman" w:eastAsia="Times New Roman" w:hAnsi="Times New Roman"/>
          <w:sz w:val="13"/>
          <w:szCs w:val="13"/>
          <w:color w:val="008000"/>
        </w:rPr>
      </w:pPr>
    </w:p>
    <w:p>
      <w:pPr>
        <w:ind w:left="40" w:right="40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Retention Award 8,700 shares will vest on April 1, 2027 and 8,700 shares will vest on December 31, 2027, subject in each case to the satisfaction of vesting conditions, including maintaining a continuous business relationship through the applicable vesting date.</w:t>
      </w:r>
    </w:p>
    <w:p>
      <w:pPr>
        <w:spacing w:after="0" w:line="19" w:lineRule="exact"/>
        <w:rPr>
          <w:rFonts w:ascii="Times New Roman" w:cs="Times New Roman" w:eastAsia="Times New Roman" w:hAnsi="Times New Roman"/>
          <w:sz w:val="13"/>
          <w:szCs w:val="13"/>
          <w:color w:val="008000"/>
        </w:rPr>
      </w:pPr>
    </w:p>
    <w:p>
      <w:pPr>
        <w:ind w:left="40" w:right="24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Of the total number of RSUs, 21,736 shares will vest on June 14, 2026; 13,130 shares will vest on April 1, 2027; 6,822 shares will vest on March 24, 2027 and 13,645 shares will vest on March 24, 2028; 8,144 shares will vest on March 23, 2027, 8,144 shares will vest on March 23, 2028 and 16,289 shares will vest on March 23, 2029; and 8,700 shares will vest on April 1, 2027 and 8,700 shares will vest on December 31, 2027, subject in each case to the satisfaction of vesting conditions, including maintaining a continuous business relationship through the applicable vesting date.</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Peter L. Gray</w:t>
            </w:r>
          </w:p>
        </w:tc>
        <w:tc>
          <w:tcPr>
            <w:tcW w:w="11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04/06/2026</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35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9628" TargetMode="External"/><Relationship Id="rId14" Type="http://schemas.openxmlformats.org/officeDocument/2006/relationships/hyperlink" Target="http://www.sec.gov/cgi-bin/browse-edgar?action=getcompany&amp;CIK=00007992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2026-04-06T16:00:21Z</dcterms:created>
  <dcterms:modified xsi:type="dcterms:W3CDTF">2026-04-06T16:00:21Z</dcterms:modified>
</cp:coreProperties>
</file>