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November 4, 2022</w:t>
      </w:r>
    </w:p>
    <w:p>
      <w:pPr>
        <w:spacing w:after="0" w:line="27" w:lineRule="exact"/>
        <w:rPr>
          <w:sz w:val="24"/>
          <w:szCs w:val="24"/>
          <w:color w:val="auto"/>
        </w:rPr>
      </w:pPr>
    </w:p>
    <w:p>
      <w:pPr>
        <w:ind w:left="938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tbl>
      <w:tblPr>
        <w:tblLayout w:type="fixed"/>
        <w:tblInd w:w="1100" w:type="dxa"/>
        <w:tblCellMar>
          <w:top w:w="0" w:type="dxa"/>
          <w:left w:w="0" w:type="dxa"/>
          <w:bottom w:w="0" w:type="dxa"/>
          <w:right w:w="0" w:type="dxa"/>
        </w:tblCellMar>
      </w:tblPr>
      <w:tr>
        <w:trPr>
          <w:trHeight w:val="283"/>
        </w:trPr>
        <w:tc>
          <w:tcPr>
            <w:tcW w:w="3120" w:type="dxa"/>
            <w:vAlign w:val="bottom"/>
          </w:tcPr>
          <w:p>
            <w:pPr>
              <w:spacing w:after="0"/>
              <w:rPr>
                <w:sz w:val="24"/>
                <w:szCs w:val="24"/>
                <w:color w:val="auto"/>
              </w:rPr>
            </w:pPr>
          </w:p>
        </w:tc>
        <w:tc>
          <w:tcPr>
            <w:tcW w:w="3440" w:type="dxa"/>
            <w:vAlign w:val="bottom"/>
            <w:gridSpan w:val="2"/>
          </w:tcPr>
          <w:p>
            <w:pPr>
              <w:jc w:val="center"/>
              <w:ind w:right="620"/>
              <w:spacing w:after="0"/>
              <w:rPr>
                <w:sz w:val="20"/>
                <w:szCs w:val="20"/>
                <w:color w:val="auto"/>
              </w:rPr>
            </w:pPr>
            <w:r>
              <w:rPr>
                <w:rFonts w:ascii="Arial" w:cs="Arial" w:eastAsia="Arial" w:hAnsi="Arial"/>
                <w:sz w:val="24"/>
                <w:szCs w:val="24"/>
                <w:b w:val="1"/>
                <w:bCs w:val="1"/>
                <w:color w:val="auto"/>
                <w:w w:val="99"/>
              </w:rPr>
              <w:t>FORM S-8</w:t>
            </w:r>
          </w:p>
        </w:tc>
        <w:tc>
          <w:tcPr>
            <w:tcW w:w="1440" w:type="dxa"/>
            <w:vAlign w:val="bottom"/>
          </w:tcPr>
          <w:p>
            <w:pPr>
              <w:spacing w:after="0"/>
              <w:rPr>
                <w:sz w:val="24"/>
                <w:szCs w:val="24"/>
                <w:color w:val="auto"/>
              </w:rPr>
            </w:pPr>
          </w:p>
        </w:tc>
      </w:tr>
      <w:tr>
        <w:trPr>
          <w:trHeight w:val="298"/>
        </w:trPr>
        <w:tc>
          <w:tcPr>
            <w:tcW w:w="6560" w:type="dxa"/>
            <w:vAlign w:val="bottom"/>
            <w:gridSpan w:val="3"/>
          </w:tcPr>
          <w:p>
            <w:pPr>
              <w:jc w:val="center"/>
              <w:ind w:left="2406"/>
              <w:spacing w:after="0"/>
              <w:rPr>
                <w:sz w:val="20"/>
                <w:szCs w:val="20"/>
                <w:color w:val="auto"/>
              </w:rPr>
            </w:pPr>
            <w:r>
              <w:rPr>
                <w:rFonts w:ascii="Arial" w:cs="Arial" w:eastAsia="Arial" w:hAnsi="Arial"/>
                <w:sz w:val="24"/>
                <w:szCs w:val="24"/>
                <w:b w:val="1"/>
                <w:bCs w:val="1"/>
                <w:color w:val="auto"/>
              </w:rPr>
              <w:t>REGISTRATION STATEMENT</w:t>
            </w:r>
          </w:p>
        </w:tc>
        <w:tc>
          <w:tcPr>
            <w:tcW w:w="144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3440" w:type="dxa"/>
            <w:vAlign w:val="bottom"/>
            <w:gridSpan w:val="2"/>
          </w:tcPr>
          <w:p>
            <w:pPr>
              <w:jc w:val="center"/>
              <w:ind w:right="680"/>
              <w:spacing w:after="0"/>
              <w:rPr>
                <w:sz w:val="20"/>
                <w:szCs w:val="20"/>
                <w:color w:val="auto"/>
              </w:rPr>
            </w:pPr>
            <w:r>
              <w:rPr>
                <w:rFonts w:ascii="Arial" w:cs="Arial" w:eastAsia="Arial" w:hAnsi="Arial"/>
                <w:sz w:val="18"/>
                <w:szCs w:val="18"/>
                <w:b w:val="1"/>
                <w:bCs w:val="1"/>
                <w:i w:val="1"/>
                <w:iCs w:val="1"/>
                <w:color w:val="auto"/>
                <w:w w:val="99"/>
              </w:rPr>
              <w:t>UNDER</w:t>
            </w:r>
          </w:p>
        </w:tc>
        <w:tc>
          <w:tcPr>
            <w:tcW w:w="144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p>
        </w:tc>
        <w:tc>
          <w:tcPr>
            <w:tcW w:w="3440" w:type="dxa"/>
            <w:vAlign w:val="bottom"/>
            <w:gridSpan w:val="2"/>
          </w:tcPr>
          <w:p>
            <w:pPr>
              <w:jc w:val="center"/>
              <w:ind w:right="640"/>
              <w:spacing w:after="0"/>
              <w:rPr>
                <w:sz w:val="20"/>
                <w:szCs w:val="20"/>
                <w:color w:val="auto"/>
              </w:rPr>
            </w:pPr>
            <w:r>
              <w:rPr>
                <w:rFonts w:ascii="Arial" w:cs="Arial" w:eastAsia="Arial" w:hAnsi="Arial"/>
                <w:sz w:val="18"/>
                <w:szCs w:val="18"/>
                <w:b w:val="1"/>
                <w:bCs w:val="1"/>
                <w:i w:val="1"/>
                <w:iCs w:val="1"/>
                <w:color w:val="auto"/>
                <w:w w:val="96"/>
              </w:rPr>
              <w:t>THE SECURITIES ACT OF 1933</w:t>
            </w:r>
          </w:p>
        </w:tc>
        <w:tc>
          <w:tcPr>
            <w:tcW w:w="1440" w:type="dxa"/>
            <w:vAlign w:val="bottom"/>
          </w:tcPr>
          <w:p>
            <w:pPr>
              <w:spacing w:after="0"/>
              <w:rPr>
                <w:sz w:val="20"/>
                <w:szCs w:val="20"/>
                <w:color w:val="auto"/>
              </w:rPr>
            </w:pPr>
          </w:p>
        </w:tc>
      </w:tr>
      <w:tr>
        <w:trPr>
          <w:trHeight w:val="270"/>
        </w:trPr>
        <w:tc>
          <w:tcPr>
            <w:tcW w:w="3120" w:type="dxa"/>
            <w:vAlign w:val="bottom"/>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641"/>
        </w:trPr>
        <w:tc>
          <w:tcPr>
            <w:tcW w:w="3120" w:type="dxa"/>
            <w:vAlign w:val="bottom"/>
          </w:tcPr>
          <w:p>
            <w:pPr>
              <w:spacing w:after="0"/>
              <w:rPr>
                <w:sz w:val="24"/>
                <w:szCs w:val="24"/>
                <w:color w:val="auto"/>
              </w:rPr>
            </w:pPr>
          </w:p>
        </w:tc>
        <w:tc>
          <w:tcPr>
            <w:tcW w:w="3440" w:type="dxa"/>
            <w:vAlign w:val="bottom"/>
            <w:gridSpan w:val="2"/>
          </w:tcPr>
          <w:p>
            <w:pPr>
              <w:jc w:val="center"/>
              <w:ind w:right="640"/>
              <w:spacing w:after="0"/>
              <w:rPr>
                <w:sz w:val="20"/>
                <w:szCs w:val="20"/>
                <w:color w:val="auto"/>
              </w:rPr>
            </w:pPr>
            <w:r>
              <w:rPr>
                <w:rFonts w:ascii="Arial" w:cs="Arial" w:eastAsia="Arial" w:hAnsi="Arial"/>
                <w:sz w:val="32"/>
                <w:szCs w:val="32"/>
                <w:b w:val="1"/>
                <w:bCs w:val="1"/>
                <w:color w:val="auto"/>
                <w:w w:val="94"/>
              </w:rPr>
              <w:t>Lands’ End, Inc.</w:t>
            </w:r>
          </w:p>
        </w:tc>
        <w:tc>
          <w:tcPr>
            <w:tcW w:w="1440" w:type="dxa"/>
            <w:vAlign w:val="bottom"/>
          </w:tcPr>
          <w:p>
            <w:pPr>
              <w:spacing w:after="0"/>
              <w:rPr>
                <w:sz w:val="24"/>
                <w:szCs w:val="24"/>
                <w:color w:val="auto"/>
              </w:rPr>
            </w:pPr>
          </w:p>
        </w:tc>
      </w:tr>
      <w:tr>
        <w:trPr>
          <w:trHeight w:val="230"/>
        </w:trPr>
        <w:tc>
          <w:tcPr>
            <w:tcW w:w="6560" w:type="dxa"/>
            <w:vAlign w:val="bottom"/>
            <w:gridSpan w:val="3"/>
          </w:tcPr>
          <w:p>
            <w:pPr>
              <w:jc w:val="center"/>
              <w:ind w:left="2386"/>
              <w:spacing w:after="0"/>
              <w:rPr>
                <w:sz w:val="20"/>
                <w:szCs w:val="20"/>
                <w:color w:val="auto"/>
              </w:rPr>
            </w:pPr>
            <w:r>
              <w:rPr>
                <w:rFonts w:ascii="Arial" w:cs="Arial" w:eastAsia="Arial" w:hAnsi="Arial"/>
                <w:sz w:val="18"/>
                <w:szCs w:val="18"/>
                <w:color w:val="auto"/>
                <w:w w:val="90"/>
              </w:rPr>
              <w:t>(Exact Name of Registrant as Specified in its Charter)</w:t>
            </w:r>
          </w:p>
        </w:tc>
        <w:tc>
          <w:tcPr>
            <w:tcW w:w="1440" w:type="dxa"/>
            <w:vAlign w:val="bottom"/>
          </w:tcPr>
          <w:p>
            <w:pPr>
              <w:spacing w:after="0"/>
              <w:rPr>
                <w:sz w:val="20"/>
                <w:szCs w:val="20"/>
                <w:color w:val="auto"/>
              </w:rPr>
            </w:pPr>
          </w:p>
        </w:tc>
      </w:tr>
      <w:tr>
        <w:trPr>
          <w:trHeight w:val="270"/>
        </w:trPr>
        <w:tc>
          <w:tcPr>
            <w:tcW w:w="3120" w:type="dxa"/>
            <w:vAlign w:val="bottom"/>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479"/>
        </w:trPr>
        <w:tc>
          <w:tcPr>
            <w:tcW w:w="6560" w:type="dxa"/>
            <w:vAlign w:val="bottom"/>
            <w:gridSpan w:val="3"/>
          </w:tcPr>
          <w:p>
            <w:pPr>
              <w:jc w:val="center"/>
              <w:ind w:right="360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36-2512786</w:t>
            </w:r>
          </w:p>
        </w:tc>
      </w:tr>
      <w:tr>
        <w:trPr>
          <w:trHeight w:val="216"/>
        </w:trPr>
        <w:tc>
          <w:tcPr>
            <w:tcW w:w="6560" w:type="dxa"/>
            <w:vAlign w:val="bottom"/>
            <w:gridSpan w:val="3"/>
          </w:tcPr>
          <w:p>
            <w:pPr>
              <w:jc w:val="center"/>
              <w:ind w:right="3680"/>
              <w:spacing w:after="0"/>
              <w:rPr>
                <w:sz w:val="20"/>
                <w:szCs w:val="20"/>
                <w:color w:val="auto"/>
              </w:rPr>
            </w:pPr>
            <w:r>
              <w:rPr>
                <w:rFonts w:ascii="Arial" w:cs="Arial" w:eastAsia="Arial" w:hAnsi="Arial"/>
                <w:sz w:val="18"/>
                <w:szCs w:val="18"/>
                <w:color w:val="auto"/>
                <w:w w:val="92"/>
              </w:rPr>
              <w:t>(State or other jurisdiction of</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2"/>
              </w:rPr>
              <w:t>(I.R.S. Employer</w:t>
            </w:r>
          </w:p>
        </w:tc>
      </w:tr>
      <w:tr>
        <w:trPr>
          <w:trHeight w:val="230"/>
        </w:trPr>
        <w:tc>
          <w:tcPr>
            <w:tcW w:w="6560" w:type="dxa"/>
            <w:vAlign w:val="bottom"/>
            <w:gridSpan w:val="3"/>
          </w:tcPr>
          <w:p>
            <w:pPr>
              <w:jc w:val="center"/>
              <w:ind w:right="3600"/>
              <w:spacing w:after="0"/>
              <w:rPr>
                <w:sz w:val="20"/>
                <w:szCs w:val="20"/>
                <w:color w:val="auto"/>
              </w:rPr>
            </w:pPr>
            <w:r>
              <w:rPr>
                <w:rFonts w:ascii="Arial" w:cs="Arial" w:eastAsia="Arial" w:hAnsi="Arial"/>
                <w:sz w:val="18"/>
                <w:szCs w:val="18"/>
                <w:color w:val="auto"/>
                <w:w w:val="92"/>
              </w:rPr>
              <w:t>incorporation or organization)</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6560" w:type="dxa"/>
            <w:vAlign w:val="bottom"/>
            <w:gridSpan w:val="3"/>
          </w:tcPr>
          <w:p>
            <w:pPr>
              <w:ind w:left="860"/>
              <w:spacing w:after="0"/>
              <w:rPr>
                <w:sz w:val="20"/>
                <w:szCs w:val="20"/>
                <w:color w:val="auto"/>
              </w:rPr>
            </w:pPr>
            <w:r>
              <w:rPr>
                <w:rFonts w:ascii="Arial" w:cs="Arial" w:eastAsia="Arial" w:hAnsi="Arial"/>
                <w:sz w:val="18"/>
                <w:szCs w:val="18"/>
                <w:b w:val="1"/>
                <w:bCs w:val="1"/>
                <w:color w:val="auto"/>
              </w:rPr>
              <w:t>1 Lands’ End Lane</w:t>
            </w:r>
          </w:p>
        </w:tc>
        <w:tc>
          <w:tcPr>
            <w:tcW w:w="1440" w:type="dxa"/>
            <w:vAlign w:val="bottom"/>
          </w:tcPr>
          <w:p>
            <w:pPr>
              <w:spacing w:after="0"/>
              <w:rPr>
                <w:sz w:val="24"/>
                <w:szCs w:val="24"/>
                <w:color w:val="auto"/>
              </w:rPr>
            </w:pPr>
          </w:p>
        </w:tc>
      </w:tr>
      <w:tr>
        <w:trPr>
          <w:trHeight w:val="220"/>
        </w:trPr>
        <w:tc>
          <w:tcPr>
            <w:tcW w:w="6560" w:type="dxa"/>
            <w:vAlign w:val="bottom"/>
            <w:gridSpan w:val="3"/>
          </w:tcPr>
          <w:p>
            <w:pPr>
              <w:jc w:val="center"/>
              <w:ind w:right="3560"/>
              <w:spacing w:after="0"/>
              <w:rPr>
                <w:sz w:val="20"/>
                <w:szCs w:val="20"/>
                <w:color w:val="auto"/>
              </w:rPr>
            </w:pPr>
            <w:r>
              <w:rPr>
                <w:rFonts w:ascii="Arial" w:cs="Arial" w:eastAsia="Arial" w:hAnsi="Arial"/>
                <w:sz w:val="18"/>
                <w:szCs w:val="18"/>
                <w:b w:val="1"/>
                <w:bCs w:val="1"/>
                <w:color w:val="auto"/>
                <w:w w:val="87"/>
              </w:rPr>
              <w:t>Dodgeville, Wisconsin</w:t>
            </w: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53595</w:t>
            </w:r>
          </w:p>
        </w:tc>
      </w:tr>
      <w:tr>
        <w:trPr>
          <w:trHeight w:val="230"/>
        </w:trPr>
        <w:tc>
          <w:tcPr>
            <w:tcW w:w="6560" w:type="dxa"/>
            <w:vAlign w:val="bottom"/>
            <w:gridSpan w:val="3"/>
          </w:tcPr>
          <w:p>
            <w:pPr>
              <w:jc w:val="center"/>
              <w:ind w:right="3620"/>
              <w:spacing w:after="0"/>
              <w:rPr>
                <w:sz w:val="20"/>
                <w:szCs w:val="20"/>
                <w:color w:val="auto"/>
              </w:rPr>
            </w:pPr>
            <w:r>
              <w:rPr>
                <w:rFonts w:ascii="Arial" w:cs="Arial" w:eastAsia="Arial" w:hAnsi="Arial"/>
                <w:sz w:val="18"/>
                <w:szCs w:val="18"/>
                <w:color w:val="auto"/>
                <w:w w:val="92"/>
              </w:rPr>
              <w:t>(Address of Principal Executive Offices)</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left="420" w:right="1480"/>
        <w:spacing w:after="0" w:line="266" w:lineRule="auto"/>
        <w:rPr>
          <w:sz w:val="20"/>
          <w:szCs w:val="20"/>
          <w:color w:val="auto"/>
        </w:rPr>
      </w:pPr>
      <w:r>
        <w:rPr>
          <w:rFonts w:ascii="Arial" w:cs="Arial" w:eastAsia="Arial" w:hAnsi="Arial"/>
          <w:sz w:val="18"/>
          <w:szCs w:val="18"/>
          <w:b w:val="1"/>
          <w:bCs w:val="1"/>
          <w:color w:val="auto"/>
        </w:rPr>
        <w:t xml:space="preserve">Sign-On Nonqualified Stock Option Agreement by and between Lands’ End, Inc. and Andrew J. McLean Sign-On Restricted Stock Unit Agreement by and between Lands’ End, Inc. and Andrew J. McLean </w:t>
      </w:r>
      <w:r>
        <w:rPr>
          <w:rFonts w:ascii="Arial" w:cs="Arial" w:eastAsia="Arial" w:hAnsi="Arial"/>
          <w:sz w:val="18"/>
          <w:szCs w:val="18"/>
          <w:color w:val="auto"/>
        </w:rPr>
        <w:t>(Full title of plans)</w:t>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Peter L. Gray</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Vice President, Chief Administrative Officer and General Counsel</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 Lands’ End Lane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Dodgeville, Wisconsin 53595</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(608) 935-9341</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11"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8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00"/>
              <w:spacing w:after="0"/>
              <w:rPr>
                <w:sz w:val="20"/>
                <w:szCs w:val="20"/>
                <w:color w:val="auto"/>
              </w:rPr>
            </w:pPr>
            <w:r>
              <w:rPr>
                <w:rFonts w:ascii="Arial" w:cs="Arial" w:eastAsia="Arial" w:hAnsi="Arial"/>
                <w:sz w:val="18"/>
                <w:szCs w:val="18"/>
                <w:color w:val="auto"/>
                <w:w w:val="97"/>
              </w:rPr>
              <w:t>Smaller reporting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120" w:type="dxa"/>
            <w:vAlign w:val="bottom"/>
          </w:tcPr>
          <w:p>
            <w:pPr>
              <w:ind w:left="3000"/>
              <w:spacing w:after="0"/>
              <w:rPr>
                <w:sz w:val="20"/>
                <w:szCs w:val="20"/>
                <w:color w:val="auto"/>
              </w:rPr>
            </w:pPr>
            <w:r>
              <w:rPr>
                <w:rFonts w:ascii="Arial" w:cs="Arial" w:eastAsia="Arial" w:hAnsi="Arial"/>
                <w:sz w:val="18"/>
                <w:szCs w:val="18"/>
                <w:color w:val="auto"/>
                <w:w w:val="98"/>
              </w:rPr>
              <w:t>Emerging growth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firstLine="25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472" w:right="439" w:bottom="1440" w:gutter="0" w:footer="0" w:header="0"/>
        </w:sectPr>
      </w:pPr>
    </w:p>
    <w:bookmarkStart w:id="1" w:name="page2"/>
    <w:bookmarkEnd w:id="1"/>
    <w:p>
      <w:pPr>
        <w:jc w:val="center"/>
        <w:ind w:right="10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Registration Statement on Form S-8 (the “Registration Statement”) filed by Lands’ End, Inc. (the “Company” or the “Registrant”) registers</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283,714 shares of the Company’s common stock, par value $0.01 (the “Shares”), 168,081 of which may be issued pursuant to the Sign-On Nonqualified Stock Option Agreement dated November 1, 2022, by and between the Registrant and Andrew J. McLean, and 115,633 of which may be issued pursuant to the Sign-On Restricted Stock Unit Agreement dated November 1, 2022, by and between the Registrant and Andrew J. McLean (collectively, the “Awards”), each of which is intended to induce Mr. McLean with an incentive to become and remain an employee of the Company and increase his interest in the success of the Company. The grants thereunder are employment inducement grants as described in Rule 5635(c)(4) of the NASDAQ Stock Market Listing Rules. The Awards, although not granted pursuant to the Lands’ End, Inc. Amended and Restated 2017 Stock Plan (the “Plan”) are, except as expressly set forth in each Award, subject to the terms and provisions of the Plan.</w:t>
      </w:r>
    </w:p>
    <w:p>
      <w:pPr>
        <w:spacing w:after="0" w:line="17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accordance with Rule 428 under the Securities Act of 1933, as amended (the “Securities Act”), and the instructional note to Part I of Form S-8, this Registration Statement omits the information specified in Part I of Form S-8. The documents containing the information specified in Part I of Form S-8 will be sent or given to the employee as specified by Rule 428(b)(1) under the Securities Act. Such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18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documents filed with the Securities and Exchange Commission (the “Commission”) by the Registrant are incorporated herein by reference:</w:t>
      </w:r>
    </w:p>
    <w:p>
      <w:pPr>
        <w:spacing w:after="0" w:line="170" w:lineRule="exact"/>
        <w:rPr>
          <w:sz w:val="20"/>
          <w:szCs w:val="20"/>
          <w:color w:val="auto"/>
        </w:rPr>
      </w:pPr>
    </w:p>
    <w:p>
      <w:pPr>
        <w:ind w:left="1280" w:right="400" w:hanging="643"/>
        <w:spacing w:after="0" w:line="277" w:lineRule="auto"/>
        <w:tabs>
          <w:tab w:leader="none" w:pos="1280" w:val="left"/>
        </w:tabs>
        <w:numPr>
          <w:ilvl w:val="0"/>
          <w:numId w:val="1"/>
        </w:numPr>
        <w:rPr>
          <w:rFonts w:ascii="Arial" w:cs="Arial" w:eastAsia="Arial" w:hAnsi="Arial"/>
          <w:sz w:val="18"/>
          <w:szCs w:val="18"/>
          <w:u w:val="single" w:color="auto"/>
          <w:color w:val="0000EE"/>
        </w:rPr>
      </w:pPr>
      <w:hyperlink r:id="rId14">
        <w:r>
          <w:rPr>
            <w:rFonts w:ascii="Arial" w:cs="Arial" w:eastAsia="Arial" w:hAnsi="Arial"/>
            <w:sz w:val="18"/>
            <w:szCs w:val="18"/>
            <w:u w:val="single" w:color="auto"/>
            <w:color w:val="0000EE"/>
          </w:rPr>
          <w:t>the Registrant’s Annual Report on Form 10-K for the fiscal year ended January 28, 2022, filed with the Commission on March 24,</w:t>
        </w:r>
      </w:hyperlink>
      <w:r>
        <w:rPr>
          <w:rFonts w:ascii="Arial" w:cs="Arial" w:eastAsia="Arial" w:hAnsi="Arial"/>
          <w:sz w:val="18"/>
          <w:szCs w:val="18"/>
          <w:u w:val="single" w:color="auto"/>
          <w:color w:val="0000EE"/>
        </w:rPr>
        <w:t xml:space="preserve"> </w:t>
      </w:r>
      <w:hyperlink r:id="rId14">
        <w:r>
          <w:rPr>
            <w:rFonts w:ascii="Arial" w:cs="Arial" w:eastAsia="Arial" w:hAnsi="Arial"/>
            <w:sz w:val="18"/>
            <w:szCs w:val="18"/>
            <w:u w:val="single" w:color="auto"/>
            <w:color w:val="0000EE"/>
          </w:rPr>
          <w:t>2022;</w:t>
        </w:r>
      </w:hyperlink>
    </w:p>
    <w:p>
      <w:pPr>
        <w:spacing w:after="0" w:line="197" w:lineRule="exact"/>
        <w:rPr>
          <w:rFonts w:ascii="Arial" w:cs="Arial" w:eastAsia="Arial" w:hAnsi="Arial"/>
          <w:sz w:val="18"/>
          <w:szCs w:val="18"/>
          <w:u w:val="single" w:color="auto"/>
          <w:color w:val="0000EE"/>
        </w:rPr>
      </w:pPr>
    </w:p>
    <w:p>
      <w:pPr>
        <w:ind w:left="1280" w:right="680" w:hanging="643"/>
        <w:spacing w:after="0" w:line="342" w:lineRule="auto"/>
        <w:tabs>
          <w:tab w:leader="none" w:pos="1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the portions of the Registrant’s Definitive Proxy Statement on Schedule 14A filed on March 31, 2022, that are incorporated by reference into Part III of the Registrant’s </w:t>
      </w:r>
      <w:hyperlink r:id="rId14">
        <w:r>
          <w:rPr>
            <w:rFonts w:ascii="Arial" w:cs="Arial" w:eastAsia="Arial" w:hAnsi="Arial"/>
            <w:sz w:val="16"/>
            <w:szCs w:val="16"/>
            <w:u w:val="single" w:color="auto"/>
            <w:color w:val="0000EE"/>
          </w:rPr>
          <w:t>Annual Report on Form 10-K for the fiscal year ended January 28, 2022</w:t>
        </w:r>
      </w:hyperlink>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ind w:left="1280" w:right="260" w:hanging="643"/>
        <w:spacing w:after="0" w:line="277" w:lineRule="auto"/>
        <w:tabs>
          <w:tab w:leader="none" w:pos="1280" w:val="left"/>
        </w:tabs>
        <w:numPr>
          <w:ilvl w:val="0"/>
          <w:numId w:val="1"/>
        </w:numPr>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the Registrant’s Quarterly Report on Form 10-Q for the quarterly period ended April 29, 2022, filed with the Commission on June 2,</w:t>
        </w:r>
      </w:hyperlink>
      <w:r>
        <w:rPr>
          <w:rFonts w:ascii="Arial" w:cs="Arial" w:eastAsia="Arial" w:hAnsi="Arial"/>
          <w:sz w:val="18"/>
          <w:szCs w:val="18"/>
          <w:u w:val="single" w:color="auto"/>
          <w:color w:val="0000EE"/>
        </w:rPr>
        <w:t xml:space="preserve"> </w:t>
      </w:r>
      <w:hyperlink r:id="rId15">
        <w:r>
          <w:rPr>
            <w:rFonts w:ascii="Arial" w:cs="Arial" w:eastAsia="Arial" w:hAnsi="Arial"/>
            <w:sz w:val="18"/>
            <w:szCs w:val="18"/>
            <w:u w:val="single" w:color="auto"/>
            <w:color w:val="0000EE"/>
          </w:rPr>
          <w:t>2022;</w:t>
        </w:r>
      </w:hyperlink>
    </w:p>
    <w:p>
      <w:pPr>
        <w:spacing w:after="0" w:line="197" w:lineRule="exact"/>
        <w:rPr>
          <w:rFonts w:ascii="Arial" w:cs="Arial" w:eastAsia="Arial" w:hAnsi="Arial"/>
          <w:sz w:val="18"/>
          <w:szCs w:val="18"/>
          <w:u w:val="single" w:color="auto"/>
          <w:color w:val="0000EE"/>
        </w:rPr>
      </w:pPr>
    </w:p>
    <w:p>
      <w:pPr>
        <w:ind w:left="1280" w:right="80" w:hanging="643"/>
        <w:spacing w:after="0" w:line="277" w:lineRule="auto"/>
        <w:tabs>
          <w:tab w:leader="none" w:pos="1280" w:val="left"/>
        </w:tabs>
        <w:numPr>
          <w:ilvl w:val="0"/>
          <w:numId w:val="1"/>
        </w:numPr>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the Registrant’s Quarterly Report on Form 10-Q for the quarterly period ended July 29, 2022, filed with the Commission on September</w:t>
        </w:r>
      </w:hyperlink>
      <w:r>
        <w:rPr>
          <w:rFonts w:ascii="Arial" w:cs="Arial" w:eastAsia="Arial" w:hAnsi="Arial"/>
          <w:sz w:val="18"/>
          <w:szCs w:val="18"/>
          <w:u w:val="single" w:color="auto"/>
          <w:color w:val="0000EE"/>
        </w:rPr>
        <w:t xml:space="preserve"> </w:t>
      </w:r>
      <w:hyperlink r:id="rId16">
        <w:r>
          <w:rPr>
            <w:rFonts w:ascii="Arial" w:cs="Arial" w:eastAsia="Arial" w:hAnsi="Arial"/>
            <w:sz w:val="18"/>
            <w:szCs w:val="18"/>
            <w:u w:val="single" w:color="auto"/>
            <w:color w:val="0000EE"/>
          </w:rPr>
          <w:t>1, 2022;</w:t>
        </w:r>
      </w:hyperlink>
    </w:p>
    <w:p>
      <w:pPr>
        <w:spacing w:after="0" w:line="197" w:lineRule="exact"/>
        <w:rPr>
          <w:rFonts w:ascii="Arial" w:cs="Arial" w:eastAsia="Arial" w:hAnsi="Arial"/>
          <w:sz w:val="18"/>
          <w:szCs w:val="18"/>
          <w:u w:val="single" w:color="auto"/>
          <w:color w:val="0000EE"/>
        </w:rPr>
      </w:pPr>
    </w:p>
    <w:p>
      <w:pPr>
        <w:ind w:left="1280" w:right="100" w:hanging="643"/>
        <w:spacing w:after="0" w:line="277" w:lineRule="auto"/>
        <w:tabs>
          <w:tab w:leader="none" w:pos="1280" w:val="left"/>
        </w:tabs>
        <w:numPr>
          <w:ilvl w:val="0"/>
          <w:numId w:val="1"/>
        </w:numPr>
        <w:rPr>
          <w:rFonts w:ascii="Arial" w:cs="Arial" w:eastAsia="Arial" w:hAnsi="Arial"/>
          <w:sz w:val="18"/>
          <w:szCs w:val="18"/>
          <w:color w:val="0000EE"/>
        </w:rPr>
      </w:pPr>
      <w:hyperlink r:id="rId17">
        <w:r>
          <w:rPr>
            <w:rFonts w:ascii="Arial" w:cs="Arial" w:eastAsia="Arial" w:hAnsi="Arial"/>
            <w:sz w:val="18"/>
            <w:szCs w:val="18"/>
            <w:color w:val="auto"/>
          </w:rPr>
          <w:t xml:space="preserve">the Registrant’s Current Reports on Form 8-K filed with the Commission on </w:t>
        </w:r>
        <w:r>
          <w:rPr>
            <w:rFonts w:ascii="Arial" w:cs="Arial" w:eastAsia="Arial" w:hAnsi="Arial"/>
            <w:sz w:val="18"/>
            <w:szCs w:val="18"/>
            <w:u w:val="single" w:color="auto"/>
            <w:color w:val="0000EE"/>
          </w:rPr>
          <w:t>March 18,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30,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13,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28,</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2022</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8">
        <w:r>
          <w:rPr>
            <w:rFonts w:ascii="Arial" w:cs="Arial" w:eastAsia="Arial" w:hAnsi="Arial"/>
            <w:sz w:val="18"/>
            <w:szCs w:val="18"/>
            <w:u w:val="single" w:color="auto"/>
            <w:color w:val="0000EE"/>
          </w:rPr>
          <w:t xml:space="preserve">July 15, 2022 </w:t>
        </w:r>
      </w:hyperlink>
      <w:hyperlink r:id="rId17">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9">
        <w:r>
          <w:rPr>
            <w:rFonts w:ascii="Arial" w:cs="Arial" w:eastAsia="Arial" w:hAnsi="Arial"/>
            <w:sz w:val="18"/>
            <w:szCs w:val="18"/>
            <w:u w:val="single" w:color="auto"/>
            <w:color w:val="0000EE"/>
          </w:rPr>
          <w:t>September 12, 2022</w:t>
        </w:r>
      </w:hyperlink>
      <w:hyperlink r:id="rId17">
        <w:r>
          <w:rPr>
            <w:rFonts w:ascii="Arial" w:cs="Arial" w:eastAsia="Arial" w:hAnsi="Arial"/>
            <w:sz w:val="18"/>
            <w:szCs w:val="18"/>
            <w:color w:val="000000"/>
          </w:rPr>
          <w:t>;</w:t>
        </w:r>
      </w:hyperlink>
    </w:p>
    <w:p>
      <w:pPr>
        <w:spacing w:after="0" w:line="197" w:lineRule="exact"/>
        <w:rPr>
          <w:rFonts w:ascii="Arial" w:cs="Arial" w:eastAsia="Arial" w:hAnsi="Arial"/>
          <w:sz w:val="18"/>
          <w:szCs w:val="18"/>
          <w:color w:val="0000EE"/>
        </w:rPr>
      </w:pPr>
    </w:p>
    <w:p>
      <w:pPr>
        <w:ind w:left="1280" w:right="420" w:hanging="643"/>
        <w:spacing w:after="0" w:line="342" w:lineRule="auto"/>
        <w:tabs>
          <w:tab w:leader="none" w:pos="1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all other reports of the Registrant filed pursuant to Section 13(a) or 15(d) of the Securities Exchange Act of 1934, as amended (the “Exchange Act”), since the end of the fiscal year covered by the document referred to in clause (a) of this Item 3; and</w:t>
      </w:r>
    </w:p>
    <w:p>
      <w:pPr>
        <w:spacing w:after="0" w:line="150" w:lineRule="exact"/>
        <w:rPr>
          <w:rFonts w:ascii="Arial" w:cs="Arial" w:eastAsia="Arial" w:hAnsi="Arial"/>
          <w:sz w:val="16"/>
          <w:szCs w:val="16"/>
          <w:color w:val="auto"/>
        </w:rPr>
      </w:pPr>
    </w:p>
    <w:p>
      <w:pPr>
        <w:ind w:left="1280" w:right="180" w:hanging="643"/>
        <w:spacing w:after="0" w:line="263" w:lineRule="auto"/>
        <w:tabs>
          <w:tab w:leader="none" w:pos="1280" w:val="left"/>
        </w:tabs>
        <w:numPr>
          <w:ilvl w:val="0"/>
          <w:numId w:val="1"/>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the description of the Company’s Common Stock incorporated by reference to Exhibit 4.7 of the Registrant’s Annual Report on Form</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10-K for the fiscal year ended January 28, 2022, including any further amendment or report filed for the purpose of updating such</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description.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-83185</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460" w:top="904" w:right="359" w:bottom="1440" w:gutter="0" w:footer="0" w:header="0"/>
        </w:sectPr>
      </w:pPr>
    </w:p>
    <w:bookmarkStart w:id="2" w:name="page3"/>
    <w:bookmarkEnd w:id="2"/>
    <w:p>
      <w:pPr>
        <w:ind w:right="20" w:firstLine="648"/>
        <w:spacing w:after="0" w:line="293" w:lineRule="auto"/>
        <w:rPr>
          <w:sz w:val="20"/>
          <w:szCs w:val="20"/>
          <w:color w:val="auto"/>
        </w:rPr>
      </w:pPr>
      <w:r>
        <w:rPr>
          <w:rFonts w:ascii="Arial" w:cs="Arial" w:eastAsia="Arial" w:hAnsi="Arial"/>
          <w:sz w:val="16"/>
          <w:szCs w:val="16"/>
          <w:color w:val="auto"/>
        </w:rPr>
        <w:t>The documents incorporated by reference into this Registration Statement may include, as exhibits, agreements between us and third parties that contain representations and warranties and other agreements and undertakings by us and third parties. These representations and warranties, agreements and undertakings have been made as of specific dates, may be subject to important qualifications and limitations agreed to by the parties to the agreements in connection with negotiating the terms of the agreements, and have been included in the agreements for the purpose of allocating risk between the parties to the agreements rather than to establish matters as facts. All such representations and warranties, agreements, and undertakings have been made solely for the benefit of the parties to the agreements and should not be relied upon by any other person.</w:t>
      </w:r>
    </w:p>
    <w:p>
      <w:pPr>
        <w:spacing w:after="0" w:line="1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all documents filed by the Registrant pursuant to Sections 13(a), 13(c), 14 and 15(d) of the Exchange Act (other than the portions of those documents not deemed to be filed) subsequent to the effective date of this Registration Statement, but prior to the filing of a post-effective amendment which indicates that all securities offered have been sold or which deregisters all securities then remaining unsold, shall be deemed to be incorporated by reference in the Registration Statement and to be part thereof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Pursuant to the General Corporation Law of the State of Delaware (the “DGCL”), a corporation may indemnify any person who was or is a party to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serving at the request of such corporation in such capacity for another corporation, partnership, joint venture, trust or other enterprise, against expenses (including attorneys’ fees), judgments, fines and amounts paid in settlement actually and reasonably incurred in connection with such action, suit or proceeding, if such person acted in good faith and in a manner he or she reasonably believed to be in or not opposed to the best interests of such corporation, and, with respect to any criminal action or proceeding, had no reasonable cause to believe his or her conduct was unlawful.</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DGCL also permits a corporation to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such court shall deem proper.</w:t>
      </w:r>
    </w:p>
    <w:p>
      <w:pPr>
        <w:spacing w:after="0" w:line="16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To the extent a present or former director or officer is successful in the defense of such an action, suit or proceeding, a corporation is required by the DGCL to indemnify such person for actual and reasonable expenses incurred thereby.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is ultimately determined that such person is not entitled to be so indemnified.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9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DGCL provides that the indemnification described above shall not be deemed exclusive of other indemnification that may be granted by a corporation pursuant to its by-laws, disinterested directors’ vote, stockholders’ vote, and agreement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408940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60" w:top="908" w:right="339" w:bottom="1440" w:gutter="0" w:footer="0" w:header="0"/>
        </w:sectPr>
      </w:pPr>
    </w:p>
    <w:bookmarkStart w:id="3" w:name="page4"/>
    <w:bookmarkEnd w:id="3"/>
    <w:p>
      <w:pPr>
        <w:ind w:right="200" w:firstLine="648"/>
        <w:spacing w:after="0" w:line="257" w:lineRule="auto"/>
        <w:rPr>
          <w:sz w:val="20"/>
          <w:szCs w:val="20"/>
          <w:color w:val="auto"/>
        </w:rPr>
      </w:pPr>
      <w:r>
        <w:rPr>
          <w:rFonts w:ascii="Arial" w:cs="Arial" w:eastAsia="Arial" w:hAnsi="Arial"/>
          <w:sz w:val="18"/>
          <w:szCs w:val="18"/>
          <w:color w:val="auto"/>
        </w:rPr>
        <w:t>The DGCL also provides corporations with the power to purchase and maintain insurance on behalf of any person who is or was a director, officer, employee or agent of the corporation, or is or was serving at the request of the corporation in a similar capacity for another corporation, partnership, joint venture, trust or other enterprise, against any liability asserted against him or her and incurred by such person in any such capacity, or arising out of his or her status as such, whether or not the corporation would have the power to indemnify him or her against such liability as described above.</w:t>
      </w:r>
    </w:p>
    <w:p>
      <w:pPr>
        <w:spacing w:after="0" w:line="18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Each of the Amended and Restated Certificate of Incorporation of Lands’ End, Inc. (the “Certificate of Incorporation”) and the Amended and Restated Bylaws of Lands’ End, Inc. (the “Bylaws”) requires the Registrant to indemnify and hold harmless, to the fullest extent permitted by applicable law, any director or officer of the Registrant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or officer of the Registrant or, while a director or officer of the Registrant, is or was serving at the request of the Registrant as a director, officer, employee or agent of another corporation or of a partnership, joint venture, trust, enterprise or nonprofit entity, including service with respect to employee benefit plans (each, a “Proceeding”), against all liability, loss suffered and expenses (including attorney’s fees) reasonably incurred by such person. In general, the Registrant will indemnify such a director or officer who initiates an action, suit or proceeding only if such action, suit or proceeding was authorized by the board of directors of the Registrant.</w:t>
      </w:r>
    </w:p>
    <w:p>
      <w:pPr>
        <w:spacing w:after="0" w:line="181" w:lineRule="exact"/>
        <w:rPr>
          <w:sz w:val="20"/>
          <w:szCs w:val="20"/>
          <w:color w:val="auto"/>
        </w:rPr>
      </w:pPr>
    </w:p>
    <w:p>
      <w:pPr>
        <w:jc w:val="both"/>
        <w:ind w:right="60" w:firstLine="648"/>
        <w:spacing w:after="0" w:line="275" w:lineRule="auto"/>
        <w:rPr>
          <w:sz w:val="20"/>
          <w:szCs w:val="20"/>
          <w:color w:val="auto"/>
        </w:rPr>
      </w:pPr>
      <w:r>
        <w:rPr>
          <w:rFonts w:ascii="Arial" w:cs="Arial" w:eastAsia="Arial" w:hAnsi="Arial"/>
          <w:sz w:val="17"/>
          <w:szCs w:val="17"/>
          <w:color w:val="auto"/>
        </w:rPr>
        <w:t>Each of the Certificate of Incorporation and the Bylaws further requires the Registrant, to the extent not prohibited under applicable law, to pay the expenses (including attorneys’ fees) incurred by a director or officer of the Registrant in defending any Proceeding in advance of its final disposition; provided, however, that, to the extent required by law, such payment of expenses in advance of the final disposition of the Proceeding shall be made only upon receipt of an undertaking by such director or officer to repay all amounts advanced if it should be ultimately determined he or she is not entitled to be indemnified under the terms of the Certificate of Incorporation or the Bylaws, as the case may be, or otherwise.</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Pursuant to the Certificate of Incorporation, a director of the Company is not liable to the Company or its stockholders for monetary damages for a breach of fiduciary duty as a director, except to the extent prohibited by the DGCL, which currently provides that such limitation of liability is prohibited if (i) such director has breached his or her duty of loyalty to the Company or its stockholders, (ii) such director’s acts or omissions are not in good faith or involve intentional misconduct or a knowing violation of law, (iii) such director derived an improper personal benefit from the transaction at issue, or (iv) required by Section 174 of the DGCL.</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foregoing statements are subject to the detailed provisions of Sections 102(b)(7) and 145 of the DGCL and the full text of the Certificate of Incorporation and the Bylaws. The indemnification rights conferred by the Registrant are not exclusive of any other right to which persons seeking indemnification may be entitled under any statute, agreement or vote of stockholders or disinterested directors or otherwise.</w:t>
      </w:r>
    </w:p>
    <w:p>
      <w:pPr>
        <w:spacing w:after="0" w:line="16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Registrant maintains directors’ and officers’ liability insurance for the benefit of its directors and officers in amounts that it believes are reasonable under the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460" w:top="908"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820" w:type="dxa"/>
            <w:vAlign w:val="bottom"/>
            <w:gridSpan w:val="5"/>
          </w:tcPr>
          <w:p>
            <w:pPr>
              <w:spacing w:after="0"/>
              <w:rPr>
                <w:sz w:val="20"/>
                <w:szCs w:val="20"/>
                <w:color w:val="auto"/>
              </w:rPr>
            </w:pPr>
            <w:r>
              <w:rPr>
                <w:rFonts w:ascii="Arial" w:cs="Arial" w:eastAsia="Arial" w:hAnsi="Arial"/>
                <w:sz w:val="18"/>
                <w:szCs w:val="18"/>
                <w:b w:val="1"/>
                <w:bCs w:val="1"/>
                <w:color w:val="auto"/>
              </w:rPr>
              <w:t>Item 8. Exhibits.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1720" w:type="dxa"/>
            <w:vAlign w:val="bottom"/>
            <w:gridSpan w:val="4"/>
          </w:tcPr>
          <w:p>
            <w:pPr>
              <w:spacing w:after="0"/>
              <w:rPr>
                <w:sz w:val="20"/>
                <w:szCs w:val="20"/>
                <w:color w:val="auto"/>
              </w:rPr>
            </w:pPr>
            <w:r>
              <w:rPr>
                <w:rFonts w:ascii="Arial" w:cs="Arial" w:eastAsia="Arial" w:hAnsi="Arial"/>
                <w:sz w:val="18"/>
                <w:szCs w:val="18"/>
                <w:color w:val="auto"/>
              </w:rPr>
              <w:t>Exhibit Number</w:t>
            </w:r>
          </w:p>
        </w:tc>
        <w:tc>
          <w:tcPr>
            <w:tcW w:w="100" w:type="dxa"/>
            <w:vAlign w:val="bottom"/>
          </w:tcPr>
          <w:p>
            <w:pPr>
              <w:spacing w:after="0"/>
              <w:rPr>
                <w:sz w:val="24"/>
                <w:szCs w:val="24"/>
                <w:color w:val="auto"/>
              </w:rPr>
            </w:pPr>
          </w:p>
        </w:tc>
        <w:tc>
          <w:tcPr>
            <w:tcW w:w="9320" w:type="dxa"/>
            <w:vAlign w:val="bottom"/>
            <w:gridSpan w:val="33"/>
          </w:tcPr>
          <w:p>
            <w:pPr>
              <w:spacing w:after="0"/>
              <w:rPr>
                <w:sz w:val="20"/>
                <w:szCs w:val="20"/>
                <w:color w:val="auto"/>
              </w:rPr>
            </w:pPr>
            <w:r>
              <w:rPr>
                <w:rFonts w:ascii="Arial" w:cs="Arial" w:eastAsia="Arial" w:hAnsi="Arial"/>
                <w:sz w:val="18"/>
                <w:szCs w:val="18"/>
                <w:color w:val="auto"/>
              </w:rPr>
              <w:t>Description</w:t>
            </w:r>
          </w:p>
        </w:tc>
      </w:tr>
      <w:tr>
        <w:trPr>
          <w:trHeight w:val="169"/>
        </w:trPr>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rPr>
            </w:pPr>
            <w:hyperlink r:id="rId2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560" w:type="dxa"/>
            <w:vAlign w:val="bottom"/>
            <w:tcBorders>
              <w:top w:val="single" w:sz="8" w:color="auto"/>
              <w:bottom w:val="single" w:sz="8" w:color="0000EE"/>
            </w:tcBorders>
            <w:gridSpan w:val="16"/>
          </w:tcPr>
          <w:p>
            <w:pPr>
              <w:spacing w:after="0" w:line="169"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Amended and Restated Certificate of Incorporation of Lands’ End, Inc. (incorporated by reference to Exhibit 3.1 to the</w:t>
              </w:r>
            </w:hyperlink>
          </w:p>
        </w:tc>
        <w:tc>
          <w:tcPr>
            <w:tcW w:w="760" w:type="dxa"/>
            <w:vAlign w:val="bottom"/>
            <w:tcBorders>
              <w:top w:val="single" w:sz="8" w:color="auto"/>
            </w:tcBorders>
            <w:gridSpan w:val="17"/>
          </w:tcPr>
          <w:p>
            <w:pPr>
              <w:spacing w:after="0"/>
              <w:rPr>
                <w:sz w:val="14"/>
                <w:szCs w:val="14"/>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24">
              <w:r>
                <w:rPr>
                  <w:rFonts w:ascii="Arial" w:cs="Arial" w:eastAsia="Arial" w:hAnsi="Arial"/>
                  <w:sz w:val="18"/>
                  <w:szCs w:val="18"/>
                  <w:color w:val="0000EE"/>
                  <w:w w:val="93"/>
                </w:rPr>
                <w:t>Company’s Annual Report on Form 10-K filed on March 24, 2022 (File No. 001-09769)).</w:t>
              </w:r>
            </w:hyperlink>
          </w:p>
        </w:tc>
        <w:tc>
          <w:tcPr>
            <w:tcW w:w="2760" w:type="dxa"/>
            <w:vAlign w:val="bottom"/>
            <w:gridSpan w:val="19"/>
          </w:tcPr>
          <w:p>
            <w:pPr>
              <w:spacing w:after="0"/>
              <w:rPr>
                <w:sz w:val="17"/>
                <w:szCs w:val="17"/>
                <w:color w:val="auto"/>
              </w:rPr>
            </w:pPr>
          </w:p>
        </w:tc>
      </w:tr>
      <w:tr>
        <w:trPr>
          <w:trHeight w:val="304"/>
        </w:trPr>
        <w:tc>
          <w:tcPr>
            <w:tcW w:w="10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0000EE"/>
              </w:rPr>
            </w:pPr>
            <w:hyperlink r:id="rId25">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3"/>
          </w:tcPr>
          <w:p>
            <w:pPr>
              <w:spacing w:after="0"/>
              <w:rPr>
                <w:rFonts w:ascii="Arial" w:cs="Arial" w:eastAsia="Arial" w:hAnsi="Arial"/>
                <w:sz w:val="18"/>
                <w:szCs w:val="18"/>
                <w:color w:val="0000EE"/>
                <w:w w:val="93"/>
              </w:rPr>
            </w:pPr>
            <w:hyperlink r:id="rId25">
              <w:r>
                <w:rPr>
                  <w:rFonts w:ascii="Arial" w:cs="Arial" w:eastAsia="Arial" w:hAnsi="Arial"/>
                  <w:sz w:val="18"/>
                  <w:szCs w:val="18"/>
                  <w:color w:val="0000EE"/>
                  <w:w w:val="93"/>
                </w:rPr>
                <w:t>Amended and Restated Bylaws of Lands’ End, Inc. (incorporated by reference to Exhibit 3.1 to the Company’s Current Report</w:t>
              </w:r>
            </w:hyperlink>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on Form 8-K filed on April 8, 2014 (File No. 001-09769)).</w:t>
              </w:r>
            </w:hyperlink>
          </w:p>
        </w:tc>
        <w:tc>
          <w:tcPr>
            <w:tcW w:w="200" w:type="dxa"/>
            <w:vAlign w:val="bottom"/>
            <w:gridSpan w:val="6"/>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0000EE"/>
              </w:rPr>
            </w:pPr>
            <w:hyperlink r:id="rId26">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3"/>
          </w:tcPr>
          <w:p>
            <w:pPr>
              <w:spacing w:after="0"/>
              <w:rPr>
                <w:rFonts w:ascii="Arial" w:cs="Arial" w:eastAsia="Arial" w:hAnsi="Arial"/>
                <w:sz w:val="18"/>
                <w:szCs w:val="18"/>
                <w:color w:val="0000EE"/>
                <w:w w:val="92"/>
              </w:rPr>
            </w:pPr>
            <w:hyperlink r:id="rId26">
              <w:r>
                <w:rPr>
                  <w:rFonts w:ascii="Arial" w:cs="Arial" w:eastAsia="Arial" w:hAnsi="Arial"/>
                  <w:sz w:val="18"/>
                  <w:szCs w:val="18"/>
                  <w:color w:val="0000EE"/>
                  <w:w w:val="92"/>
                </w:rPr>
                <w:t>ABL Credit Agreement, dated as of November 16, 2017, by and between Lands’ End, Inc. (as the Lead Borrower), Wells Fargo</w:t>
              </w:r>
            </w:hyperlink>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80" w:type="dxa"/>
            <w:vAlign w:val="bottom"/>
            <w:tcBorders>
              <w:top w:val="single" w:sz="8" w:color="0000EE"/>
            </w:tcBorders>
            <w:gridSpan w:val="29"/>
          </w:tcPr>
          <w:p>
            <w:pPr>
              <w:spacing w:after="0" w:line="196" w:lineRule="exact"/>
              <w:rPr>
                <w:rFonts w:ascii="Arial" w:cs="Arial" w:eastAsia="Arial" w:hAnsi="Arial"/>
                <w:sz w:val="18"/>
                <w:szCs w:val="18"/>
                <w:color w:val="0000EE"/>
                <w:w w:val="93"/>
              </w:rPr>
            </w:pPr>
            <w:hyperlink r:id="rId26">
              <w:r>
                <w:rPr>
                  <w:rFonts w:ascii="Arial" w:cs="Arial" w:eastAsia="Arial" w:hAnsi="Arial"/>
                  <w:sz w:val="18"/>
                  <w:szCs w:val="18"/>
                  <w:color w:val="0000EE"/>
                  <w:w w:val="93"/>
                </w:rPr>
                <w:t>Bank, N.A. (as Agent, L/C Issuer and Swing Line Lender), the Other Lenders party thereto, Wells Fargo Bank, N.A. (as Sole</w:t>
              </w:r>
            </w:hyperlink>
          </w:p>
        </w:tc>
        <w:tc>
          <w:tcPr>
            <w:tcW w:w="140" w:type="dxa"/>
            <w:vAlign w:val="bottom"/>
            <w:gridSpan w:val="4"/>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Lead Arranger and Sole Bookrunner) and BMO Harris Bank, N.A. (as Syndication Agent), and SunTrust Bank (as</w:t>
              </w:r>
            </w:hyperlink>
          </w:p>
        </w:tc>
        <w:tc>
          <w:tcPr>
            <w:tcW w:w="740" w:type="dxa"/>
            <w:vAlign w:val="bottom"/>
            <w:tcBorders>
              <w:top w:val="single" w:sz="8" w:color="0000EE"/>
            </w:tcBorders>
            <w:gridSpan w:val="8"/>
          </w:tcPr>
          <w:p>
            <w:pPr>
              <w:spacing w:after="0"/>
              <w:rPr>
                <w:sz w:val="17"/>
                <w:szCs w:val="17"/>
                <w:color w:val="auto"/>
              </w:rPr>
            </w:pPr>
          </w:p>
        </w:tc>
        <w:tc>
          <w:tcPr>
            <w:tcW w:w="340" w:type="dxa"/>
            <w:vAlign w:val="bottom"/>
            <w:gridSpan w:val="10"/>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3"/>
          </w:tcPr>
          <w:p>
            <w:pPr>
              <w:spacing w:after="0" w:line="196" w:lineRule="exact"/>
              <w:rPr>
                <w:rFonts w:ascii="Arial" w:cs="Arial" w:eastAsia="Arial" w:hAnsi="Arial"/>
                <w:sz w:val="18"/>
                <w:szCs w:val="18"/>
                <w:color w:val="0000EE"/>
                <w:w w:val="94"/>
              </w:rPr>
            </w:pPr>
            <w:hyperlink r:id="rId26">
              <w:r>
                <w:rPr>
                  <w:rFonts w:ascii="Arial" w:cs="Arial" w:eastAsia="Arial" w:hAnsi="Arial"/>
                  <w:sz w:val="18"/>
                  <w:szCs w:val="18"/>
                  <w:color w:val="0000EE"/>
                  <w:w w:val="94"/>
                </w:rPr>
                <w:t>Documentation Agent) (incorporated by reference to Exhibit 4.2 to the Company’s Annual Report on Form 10-K for the fiscal</w:t>
              </w:r>
            </w:hyperlink>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year ended February 2, 2018 (File No. 001-09769)).</w:t>
              </w:r>
            </w:hyperlink>
          </w:p>
        </w:tc>
        <w:tc>
          <w:tcPr>
            <w:tcW w:w="240" w:type="dxa"/>
            <w:vAlign w:val="bottom"/>
            <w:gridSpan w:val="7"/>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0000EE"/>
              </w:rPr>
            </w:pPr>
            <w:hyperlink r:id="rId27">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3"/>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First Amendment to ABL Credit Agreement, dated December 3, 2019, by and between Lands’ End, Inc. (as the Lead Borrower),</w:t>
              </w:r>
            </w:hyperlink>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32"/>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Wells Fargo Bank, N.A. (as Agent, L/C Issuer and Swing Line Lender), the Other Lenders party thereto, Citizens Bank, N.A. (as</w:t>
              </w:r>
            </w:hyperlink>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27">
              <w:r>
                <w:rPr>
                  <w:rFonts w:ascii="Arial" w:cs="Arial" w:eastAsia="Arial" w:hAnsi="Arial"/>
                  <w:sz w:val="18"/>
                  <w:szCs w:val="18"/>
                  <w:color w:val="0000EE"/>
                  <w:w w:val="90"/>
                </w:rPr>
                <w:t>Lender) and Suntrust Bank (as Lender), BMO Harris Bank N.A. (as Lender), and JPMorgan Chase Bank N.A. (as Lender)</w:t>
              </w:r>
            </w:hyperlink>
          </w:p>
        </w:tc>
        <w:tc>
          <w:tcPr>
            <w:tcW w:w="520" w:type="dxa"/>
            <w:vAlign w:val="bottom"/>
            <w:gridSpan w:val="14"/>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3"/>
          </w:tcPr>
          <w:p>
            <w:pPr>
              <w:spacing w:after="0" w:line="196" w:lineRule="exact"/>
              <w:rPr>
                <w:rFonts w:ascii="Arial" w:cs="Arial" w:eastAsia="Arial" w:hAnsi="Arial"/>
                <w:sz w:val="18"/>
                <w:szCs w:val="18"/>
                <w:color w:val="0000EE"/>
                <w:w w:val="93"/>
              </w:rPr>
            </w:pPr>
            <w:hyperlink r:id="rId27">
              <w:r>
                <w:rPr>
                  <w:rFonts w:ascii="Arial" w:cs="Arial" w:eastAsia="Arial" w:hAnsi="Arial"/>
                  <w:sz w:val="18"/>
                  <w:szCs w:val="18"/>
                  <w:color w:val="0000EE"/>
                  <w:w w:val="93"/>
                </w:rPr>
                <w:t>(incorporated by reference to Exhibit 4.2 to the Company’s Annual Report on Form 10-K for the fiscal year ended January 30,</w:t>
              </w:r>
            </w:hyperlink>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2020 (File No. 001-09769)).</w:t>
              </w:r>
            </w:hyperlink>
          </w:p>
        </w:tc>
        <w:tc>
          <w:tcPr>
            <w:tcW w:w="7040" w:type="dxa"/>
            <w:vAlign w:val="bottom"/>
            <w:tcBorders>
              <w:top w:val="single" w:sz="8" w:color="0000EE"/>
            </w:tcBorders>
            <w:gridSpan w:val="23"/>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304"/>
        </w:trPr>
        <w:tc>
          <w:tcPr>
            <w:tcW w:w="10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0000EE"/>
              </w:rPr>
            </w:pPr>
            <w:hyperlink r:id="rId28">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3"/>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Second Amendment to ABL Credit Agreement, dated August 12, 2020, by and among Lands’ End, Inc. (as the Lead Borrower),</w:t>
              </w:r>
            </w:hyperlink>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Borders>
              <w:top w:val="single" w:sz="8" w:color="0000EE"/>
            </w:tcBorders>
            <w:gridSpan w:val="31"/>
          </w:tcPr>
          <w:p>
            <w:pPr>
              <w:spacing w:after="0" w:line="196" w:lineRule="exact"/>
              <w:rPr>
                <w:rFonts w:ascii="Arial" w:cs="Arial" w:eastAsia="Arial" w:hAnsi="Arial"/>
                <w:sz w:val="18"/>
                <w:szCs w:val="18"/>
                <w:color w:val="0000EE"/>
                <w:w w:val="92"/>
              </w:rPr>
            </w:pPr>
            <w:hyperlink r:id="rId28">
              <w:r>
                <w:rPr>
                  <w:rFonts w:ascii="Arial" w:cs="Arial" w:eastAsia="Arial" w:hAnsi="Arial"/>
                  <w:sz w:val="18"/>
                  <w:szCs w:val="18"/>
                  <w:color w:val="0000EE"/>
                  <w:w w:val="92"/>
                </w:rPr>
                <w:t>the guarantors party thereto, the lenders party thereto and Wells Fargo Bank, National Association (as Agent, L/C Issuer and</w:t>
              </w:r>
            </w:hyperlink>
          </w:p>
        </w:tc>
        <w:tc>
          <w:tcPr>
            <w:tcW w:w="100" w:type="dxa"/>
            <w:vAlign w:val="bottom"/>
            <w:gridSpan w:val="2"/>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Swing Line Lender) (incorporated by reference to Exhibit 4.1 to the Company’s Quarterly Report on Form 10-Q for the fiscal</w:t>
              </w:r>
            </w:hyperlink>
          </w:p>
        </w:tc>
        <w:tc>
          <w:tcPr>
            <w:tcW w:w="280" w:type="dxa"/>
            <w:vAlign w:val="bottom"/>
            <w:gridSpan w:val="8"/>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3"/>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quarter ended July 31, 2020 (File No. 001-09769)).</w:t>
              </w:r>
            </w:hyperlink>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0000EE"/>
              </w:rPr>
            </w:pPr>
            <w:hyperlink r:id="rId29">
              <w:r>
                <w:rPr>
                  <w:rFonts w:ascii="Arial" w:cs="Arial" w:eastAsia="Arial" w:hAnsi="Arial"/>
                  <w:sz w:val="18"/>
                  <w:szCs w:val="18"/>
                  <w:color w:val="0000EE"/>
                </w:rPr>
                <w:t>4.</w:t>
              </w:r>
              <w:r>
                <w:rPr>
                  <w:rFonts w:ascii="Arial" w:cs="Arial" w:eastAsia="Arial" w:hAnsi="Arial"/>
                  <w:sz w:val="18"/>
                  <w:szCs w:val="18"/>
                  <w:u w:val="single" w:color="auto"/>
                  <w:color w:val="0000EE"/>
                </w:rPr>
                <w:t>6</w:t>
              </w:r>
            </w:hyperlink>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3"/>
          </w:tcPr>
          <w:p>
            <w:pPr>
              <w:spacing w:after="0"/>
              <w:rPr>
                <w:rFonts w:ascii="Arial" w:cs="Arial" w:eastAsia="Arial" w:hAnsi="Arial"/>
                <w:sz w:val="18"/>
                <w:szCs w:val="18"/>
                <w:color w:val="0000EE"/>
                <w:w w:val="93"/>
              </w:rPr>
            </w:pPr>
            <w:hyperlink r:id="rId29">
              <w:r>
                <w:rPr>
                  <w:rFonts w:ascii="Arial" w:cs="Arial" w:eastAsia="Arial" w:hAnsi="Arial"/>
                  <w:sz w:val="18"/>
                  <w:szCs w:val="18"/>
                  <w:color w:val="0000EE"/>
                  <w:w w:val="93"/>
                </w:rPr>
                <w:t>Third Amendment to ABL Credit Agreement, dated July 29, 2021, by and among Lands’ End, Inc. (as the Lead Borrower), the</w:t>
              </w:r>
            </w:hyperlink>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top w:val="single" w:sz="8" w:color="0000EE"/>
            </w:tcBorders>
            <w:gridSpan w:val="27"/>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guarantors party thereto, the lenders party thereto and Wells Fargo Bank, National Association (as administrative agent and</w:t>
              </w:r>
            </w:hyperlink>
          </w:p>
        </w:tc>
        <w:tc>
          <w:tcPr>
            <w:tcW w:w="200" w:type="dxa"/>
            <w:vAlign w:val="bottom"/>
            <w:gridSpan w:val="6"/>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3"/>
          </w:tcPr>
          <w:p>
            <w:pPr>
              <w:spacing w:after="0" w:line="196" w:lineRule="exact"/>
              <w:rPr>
                <w:rFonts w:ascii="Arial" w:cs="Arial" w:eastAsia="Arial" w:hAnsi="Arial"/>
                <w:sz w:val="18"/>
                <w:szCs w:val="18"/>
                <w:color w:val="0000EE"/>
                <w:w w:val="95"/>
              </w:rPr>
            </w:pPr>
            <w:hyperlink r:id="rId29">
              <w:r>
                <w:rPr>
                  <w:rFonts w:ascii="Arial" w:cs="Arial" w:eastAsia="Arial" w:hAnsi="Arial"/>
                  <w:sz w:val="18"/>
                  <w:szCs w:val="18"/>
                  <w:color w:val="0000EE"/>
                  <w:w w:val="95"/>
                </w:rPr>
                <w:t>collateral agent) (incorporated by reference to Exhibit 4.1 of the Company’s Current Report on Form 8-K filed on August 4,</w:t>
              </w:r>
            </w:hyperlink>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2021 (File No. 001-09769)).</w:t>
              </w:r>
            </w:hyperlink>
          </w:p>
        </w:tc>
        <w:tc>
          <w:tcPr>
            <w:tcW w:w="6900" w:type="dxa"/>
            <w:vAlign w:val="bottom"/>
            <w:tcBorders>
              <w:top w:val="single" w:sz="8" w:color="0000EE"/>
            </w:tcBorders>
            <w:gridSpan w:val="19"/>
          </w:tcPr>
          <w:p>
            <w:pPr>
              <w:spacing w:after="0"/>
              <w:rPr>
                <w:sz w:val="17"/>
                <w:szCs w:val="17"/>
                <w:color w:val="auto"/>
              </w:rPr>
            </w:pPr>
          </w:p>
        </w:tc>
        <w:tc>
          <w:tcPr>
            <w:tcW w:w="380" w:type="dxa"/>
            <w:vAlign w:val="bottom"/>
            <w:gridSpan w:val="11"/>
          </w:tcPr>
          <w:p>
            <w:pPr>
              <w:spacing w:after="0"/>
              <w:rPr>
                <w:sz w:val="17"/>
                <w:szCs w:val="17"/>
                <w:color w:val="auto"/>
              </w:rPr>
            </w:pPr>
          </w:p>
        </w:tc>
      </w:tr>
      <w:tr>
        <w:trPr>
          <w:trHeight w:val="304"/>
        </w:trPr>
        <w:tc>
          <w:tcPr>
            <w:tcW w:w="10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0000EE"/>
              </w:rPr>
            </w:pPr>
            <w:hyperlink r:id="rId30">
              <w:r>
                <w:rPr>
                  <w:rFonts w:ascii="Arial" w:cs="Arial" w:eastAsia="Arial" w:hAnsi="Arial"/>
                  <w:sz w:val="18"/>
                  <w:szCs w:val="18"/>
                  <w:color w:val="0000EE"/>
                </w:rPr>
                <w:t>4.</w:t>
              </w:r>
              <w:r>
                <w:rPr>
                  <w:rFonts w:ascii="Arial" w:cs="Arial" w:eastAsia="Arial" w:hAnsi="Arial"/>
                  <w:sz w:val="18"/>
                  <w:szCs w:val="18"/>
                  <w:u w:val="single" w:color="auto"/>
                  <w:color w:val="0000EE"/>
                </w:rPr>
                <w:t>7</w:t>
              </w:r>
            </w:hyperlink>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3"/>
          </w:tcPr>
          <w:p>
            <w:pPr>
              <w:spacing w:after="0"/>
              <w:rPr>
                <w:rFonts w:ascii="Arial" w:cs="Arial" w:eastAsia="Arial" w:hAnsi="Arial"/>
                <w:sz w:val="18"/>
                <w:szCs w:val="18"/>
                <w:color w:val="0000EE"/>
                <w:w w:val="94"/>
              </w:rPr>
            </w:pPr>
            <w:hyperlink r:id="rId30">
              <w:r>
                <w:rPr>
                  <w:rFonts w:ascii="Arial" w:cs="Arial" w:eastAsia="Arial" w:hAnsi="Arial"/>
                  <w:sz w:val="18"/>
                  <w:szCs w:val="18"/>
                  <w:color w:val="0000EE"/>
                  <w:w w:val="94"/>
                </w:rPr>
                <w:t>Term Loan Credit Agreement, dated September 9, 2020, among Lands’ End Inc., as the Borrower, Fortress Credit Corp., as</w:t>
              </w:r>
            </w:hyperlink>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Administrative Agent and Collateral Agent, and the lenders party thereto (incorporated by reference to Exhibit 4.1 of the</w:t>
              </w:r>
            </w:hyperlink>
          </w:p>
        </w:tc>
        <w:tc>
          <w:tcPr>
            <w:tcW w:w="200" w:type="dxa"/>
            <w:vAlign w:val="bottom"/>
            <w:tcBorders>
              <w:top w:val="single" w:sz="8" w:color="0000EE"/>
            </w:tcBorders>
            <w:gridSpan w:val="4"/>
          </w:tcPr>
          <w:p>
            <w:pPr>
              <w:spacing w:after="0"/>
              <w:rPr>
                <w:sz w:val="17"/>
                <w:szCs w:val="17"/>
                <w:color w:val="auto"/>
              </w:rPr>
            </w:pPr>
          </w:p>
        </w:tc>
        <w:tc>
          <w:tcPr>
            <w:tcW w:w="440" w:type="dxa"/>
            <w:vAlign w:val="bottom"/>
            <w:gridSpan w:val="12"/>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3"/>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Company’s Form 8-K filed on September 15, 2020 (File No. 001-09769)).</w:t>
              </w:r>
            </w:hyperlink>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0000EE"/>
              </w:rPr>
            </w:pPr>
            <w:hyperlink r:id="rId31">
              <w:r>
                <w:rPr>
                  <w:rFonts w:ascii="Arial" w:cs="Arial" w:eastAsia="Arial" w:hAnsi="Arial"/>
                  <w:sz w:val="18"/>
                  <w:szCs w:val="18"/>
                  <w:color w:val="0000EE"/>
                </w:rPr>
                <w:t>4.</w:t>
              </w:r>
              <w:r>
                <w:rPr>
                  <w:rFonts w:ascii="Arial" w:cs="Arial" w:eastAsia="Arial" w:hAnsi="Arial"/>
                  <w:sz w:val="18"/>
                  <w:szCs w:val="18"/>
                  <w:u w:val="single" w:color="auto"/>
                  <w:color w:val="0000EE"/>
                </w:rPr>
                <w:t>8</w:t>
              </w:r>
            </w:hyperlink>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3"/>
          </w:tcPr>
          <w:p>
            <w:pPr>
              <w:spacing w:after="0"/>
              <w:rPr>
                <w:rFonts w:ascii="Arial" w:cs="Arial" w:eastAsia="Arial" w:hAnsi="Arial"/>
                <w:sz w:val="18"/>
                <w:szCs w:val="18"/>
                <w:color w:val="0000EE"/>
                <w:w w:val="91"/>
              </w:rPr>
            </w:pPr>
            <w:hyperlink r:id="rId31">
              <w:r>
                <w:rPr>
                  <w:rFonts w:ascii="Arial" w:cs="Arial" w:eastAsia="Arial" w:hAnsi="Arial"/>
                  <w:sz w:val="18"/>
                  <w:szCs w:val="18"/>
                  <w:color w:val="0000EE"/>
                  <w:w w:val="91"/>
                </w:rPr>
                <w:t>Guaranty and Security Agreement, dated September 9, 2020, by Lands’ End, Inc., as the Borrower, and the other grantors party</w:t>
              </w:r>
            </w:hyperlink>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31">
              <w:r>
                <w:rPr>
                  <w:rFonts w:ascii="Arial" w:cs="Arial" w:eastAsia="Arial" w:hAnsi="Arial"/>
                  <w:sz w:val="18"/>
                  <w:szCs w:val="18"/>
                  <w:color w:val="0000EE"/>
                  <w:w w:val="91"/>
                </w:rPr>
                <w:t>thereto and Fortress Credit Corp., as Agent (incorporated by reference to Exhibit 4.2 of the Company’s Form 8-K filed on</w:t>
              </w:r>
            </w:hyperlink>
          </w:p>
        </w:tc>
        <w:tc>
          <w:tcPr>
            <w:tcW w:w="400" w:type="dxa"/>
            <w:vAlign w:val="bottom"/>
            <w:tcBorders>
              <w:top w:val="single" w:sz="8" w:color="0000EE"/>
            </w:tcBorders>
            <w:gridSpan w:val="10"/>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3"/>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September 15, 2020 (File No. 001-09769)).</w:t>
              </w:r>
            </w:hyperlink>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0000EE"/>
              </w:rPr>
            </w:pPr>
            <w:hyperlink r:id="rId20">
              <w:r>
                <w:rPr>
                  <w:rFonts w:ascii="Arial" w:cs="Arial" w:eastAsia="Arial" w:hAnsi="Arial"/>
                  <w:sz w:val="18"/>
                  <w:szCs w:val="18"/>
                  <w:color w:val="0000EE"/>
                </w:rPr>
                <w:t>4.</w:t>
              </w:r>
              <w:r>
                <w:rPr>
                  <w:rFonts w:ascii="Arial" w:cs="Arial" w:eastAsia="Arial" w:hAnsi="Arial"/>
                  <w:sz w:val="18"/>
                  <w:szCs w:val="18"/>
                  <w:u w:val="single" w:color="auto"/>
                  <w:color w:val="0000EE"/>
                </w:rPr>
                <w:t>9</w:t>
              </w:r>
            </w:hyperlink>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3"/>
          </w:tcPr>
          <w:p>
            <w:pPr>
              <w:spacing w:after="0"/>
              <w:rPr>
                <w:rFonts w:ascii="Arial" w:cs="Arial" w:eastAsia="Arial" w:hAnsi="Arial"/>
                <w:sz w:val="18"/>
                <w:szCs w:val="18"/>
                <w:color w:val="0000EE"/>
                <w:w w:val="95"/>
              </w:rPr>
            </w:pPr>
            <w:hyperlink r:id="rId20">
              <w:r>
                <w:rPr>
                  <w:rFonts w:ascii="Arial" w:cs="Arial" w:eastAsia="Arial" w:hAnsi="Arial"/>
                  <w:sz w:val="18"/>
                  <w:szCs w:val="18"/>
                  <w:color w:val="0000EE"/>
                  <w:w w:val="95"/>
                </w:rPr>
                <w:t>Description of Securities Registered Under Section 12 of the Exchange Act (incorporated by reference to Exhibit 4.7 of the</w:t>
              </w:r>
            </w:hyperlink>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20">
              <w:r>
                <w:rPr>
                  <w:rFonts w:ascii="Arial" w:cs="Arial" w:eastAsia="Arial" w:hAnsi="Arial"/>
                  <w:sz w:val="18"/>
                  <w:szCs w:val="18"/>
                  <w:color w:val="0000EE"/>
                  <w:w w:val="92"/>
                </w:rPr>
                <w:t>Company’s Annual Report on Form 10-K filed on March 24, 2022 (File No. 001-09769)).</w:t>
              </w:r>
            </w:hyperlink>
          </w:p>
        </w:tc>
        <w:tc>
          <w:tcPr>
            <w:tcW w:w="2380" w:type="dxa"/>
            <w:vAlign w:val="bottom"/>
            <w:tcBorders>
              <w:top w:val="single" w:sz="8" w:color="0000EE"/>
            </w:tcBorders>
            <w:gridSpan w:val="7"/>
          </w:tcPr>
          <w:p>
            <w:pPr>
              <w:spacing w:after="0"/>
              <w:rPr>
                <w:sz w:val="17"/>
                <w:szCs w:val="17"/>
                <w:color w:val="auto"/>
              </w:rPr>
            </w:pPr>
          </w:p>
        </w:tc>
        <w:tc>
          <w:tcPr>
            <w:tcW w:w="460" w:type="dxa"/>
            <w:vAlign w:val="bottom"/>
            <w:gridSpan w:val="13"/>
          </w:tcPr>
          <w:p>
            <w:pPr>
              <w:spacing w:after="0"/>
              <w:rPr>
                <w:sz w:val="17"/>
                <w:szCs w:val="17"/>
                <w:color w:val="auto"/>
              </w:rPr>
            </w:pPr>
          </w:p>
        </w:tc>
      </w:tr>
      <w:tr>
        <w:trPr>
          <w:trHeight w:val="304"/>
        </w:trPr>
        <w:tc>
          <w:tcPr>
            <w:tcW w:w="10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1</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3"/>
          </w:tcPr>
          <w:p>
            <w:pPr>
              <w:spacing w:after="0"/>
              <w:rPr>
                <w:sz w:val="20"/>
                <w:szCs w:val="20"/>
                <w:color w:val="auto"/>
              </w:rPr>
            </w:pPr>
            <w:r>
              <w:rPr>
                <w:rFonts w:ascii="Arial" w:cs="Arial" w:eastAsia="Arial" w:hAnsi="Arial"/>
                <w:sz w:val="18"/>
                <w:szCs w:val="18"/>
                <w:color w:val="0000EE"/>
              </w:rPr>
              <w:t>Opinion of Nutter, McClennen &amp; Fish, LLP*</w:t>
            </w: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3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Consent of Deloitte &amp; Touche LLP*</w:t>
            </w:r>
          </w:p>
        </w:tc>
        <w:tc>
          <w:tcPr>
            <w:tcW w:w="6700" w:type="dxa"/>
            <w:vAlign w:val="bottom"/>
            <w:gridSpan w:val="29"/>
          </w:tcPr>
          <w:p>
            <w:pPr>
              <w:spacing w:after="0"/>
              <w:rPr>
                <w:sz w:val="24"/>
                <w:szCs w:val="24"/>
                <w:color w:val="auto"/>
              </w:rPr>
            </w:pPr>
          </w:p>
        </w:tc>
      </w:tr>
      <w:tr>
        <w:trPr>
          <w:trHeight w:val="304"/>
        </w:trPr>
        <w:tc>
          <w:tcPr>
            <w:tcW w:w="100" w:type="dxa"/>
            <w:vAlign w:val="bottom"/>
          </w:tcPr>
          <w:p>
            <w:pPr>
              <w:spacing w:after="0"/>
              <w:rPr>
                <w:sz w:val="24"/>
                <w:szCs w:val="24"/>
                <w:color w:val="auto"/>
              </w:rPr>
            </w:pPr>
          </w:p>
        </w:tc>
        <w:tc>
          <w:tcPr>
            <w:tcW w:w="3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3"/>
              </w:rPr>
              <w:t>Consent of Nutter, McClennen &amp; Fish, LLP (included in Exhibit 5.1)*</w:t>
            </w:r>
          </w:p>
        </w:tc>
        <w:tc>
          <w:tcPr>
            <w:tcW w:w="4260" w:type="dxa"/>
            <w:vAlign w:val="bottom"/>
            <w:gridSpan w:val="23"/>
          </w:tcPr>
          <w:p>
            <w:pPr>
              <w:spacing w:after="0"/>
              <w:rPr>
                <w:sz w:val="24"/>
                <w:szCs w:val="24"/>
                <w:color w:val="auto"/>
              </w:rPr>
            </w:pPr>
          </w:p>
        </w:tc>
      </w:tr>
      <w:tr>
        <w:trPr>
          <w:trHeight w:val="304"/>
        </w:trPr>
        <w:tc>
          <w:tcPr>
            <w:tcW w:w="10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3"/>
          </w:tcPr>
          <w:p>
            <w:pPr>
              <w:spacing w:after="0"/>
              <w:rPr>
                <w:sz w:val="20"/>
                <w:szCs w:val="20"/>
                <w:color w:val="auto"/>
              </w:rPr>
            </w:pPr>
            <w:r>
              <w:rPr>
                <w:rFonts w:ascii="Arial" w:cs="Arial" w:eastAsia="Arial" w:hAnsi="Arial"/>
                <w:sz w:val="18"/>
                <w:szCs w:val="18"/>
                <w:color w:val="0000EE"/>
              </w:rPr>
              <w:t>Power of Attorney (included on signature page).*</w:t>
            </w:r>
          </w:p>
        </w:tc>
      </w:tr>
      <w:tr>
        <w:trPr>
          <w:trHeight w:val="20"/>
        </w:trPr>
        <w:tc>
          <w:tcPr>
            <w:tcW w:w="100" w:type="dxa"/>
            <w:vAlign w:val="bottom"/>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0000EE"/>
                <w:w w:val="85"/>
              </w:rPr>
            </w:pPr>
            <w:hyperlink r:id="rId32">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3"/>
          </w:tcPr>
          <w:p>
            <w:pPr>
              <w:spacing w:after="0"/>
              <w:rPr>
                <w:rFonts w:ascii="Arial" w:cs="Arial" w:eastAsia="Arial" w:hAnsi="Arial"/>
                <w:sz w:val="18"/>
                <w:szCs w:val="18"/>
                <w:color w:val="0000EE"/>
                <w:w w:val="93"/>
              </w:rPr>
            </w:pPr>
            <w:hyperlink r:id="rId32">
              <w:r>
                <w:rPr>
                  <w:rFonts w:ascii="Arial" w:cs="Arial" w:eastAsia="Arial" w:hAnsi="Arial"/>
                  <w:sz w:val="18"/>
                  <w:szCs w:val="18"/>
                  <w:color w:val="0000EE"/>
                  <w:w w:val="93"/>
                </w:rPr>
                <w:t>Lands’ End, Inc. Amended and Restated 2017 Stock Plan (incorporated by reference to Exhibit 10.1 of the Current Report on</w:t>
              </w:r>
            </w:hyperlink>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3"/>
              </w:rPr>
            </w:pPr>
            <w:hyperlink r:id="rId32">
              <w:r>
                <w:rPr>
                  <w:rFonts w:ascii="Arial" w:cs="Arial" w:eastAsia="Arial" w:hAnsi="Arial"/>
                  <w:sz w:val="18"/>
                  <w:szCs w:val="18"/>
                  <w:color w:val="0000EE"/>
                  <w:w w:val="93"/>
                </w:rPr>
                <w:t>Form 8-K filed by Lands’ End, Inc. on May 13, 2019 (File No. 001-09769)).</w:t>
              </w:r>
            </w:hyperlink>
          </w:p>
        </w:tc>
        <w:tc>
          <w:tcPr>
            <w:tcW w:w="3480" w:type="dxa"/>
            <w:vAlign w:val="bottom"/>
            <w:tcBorders>
              <w:top w:val="single" w:sz="8" w:color="0000EE"/>
            </w:tcBorders>
            <w:gridSpan w:val="12"/>
          </w:tcPr>
          <w:p>
            <w:pPr>
              <w:spacing w:after="0"/>
              <w:rPr>
                <w:sz w:val="17"/>
                <w:szCs w:val="17"/>
                <w:color w:val="auto"/>
              </w:rPr>
            </w:pPr>
          </w:p>
        </w:tc>
        <w:tc>
          <w:tcPr>
            <w:tcW w:w="320" w:type="dxa"/>
            <w:vAlign w:val="bottom"/>
            <w:gridSpan w:val="9"/>
          </w:tcPr>
          <w:p>
            <w:pPr>
              <w:spacing w:after="0"/>
              <w:rPr>
                <w:sz w:val="17"/>
                <w:szCs w:val="17"/>
                <w:color w:val="auto"/>
              </w:rPr>
            </w:pPr>
          </w:p>
        </w:tc>
      </w:tr>
      <w:tr>
        <w:trPr>
          <w:trHeight w:val="304"/>
        </w:trPr>
        <w:tc>
          <w:tcPr>
            <w:tcW w:w="100" w:type="dxa"/>
            <w:vAlign w:val="bottom"/>
          </w:tcPr>
          <w:p>
            <w:pPr>
              <w:spacing w:after="0"/>
              <w:rPr>
                <w:sz w:val="24"/>
                <w:szCs w:val="24"/>
                <w:color w:val="auto"/>
              </w:rPr>
            </w:pPr>
          </w:p>
        </w:tc>
        <w:tc>
          <w:tcPr>
            <w:tcW w:w="3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1"/>
              </w:rPr>
              <w:t>Sign-On Nonqualified Stock Option Agreement dated November 1, 2022, by and between Lands’ End, Inc. and Andrew J.</w:t>
            </w:r>
          </w:p>
        </w:tc>
        <w:tc>
          <w:tcPr>
            <w:tcW w:w="460" w:type="dxa"/>
            <w:vAlign w:val="bottom"/>
            <w:gridSpan w:val="13"/>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3"/>
          </w:tcPr>
          <w:p>
            <w:pPr>
              <w:spacing w:after="0" w:line="196" w:lineRule="exact"/>
              <w:rPr>
                <w:sz w:val="20"/>
                <w:szCs w:val="20"/>
                <w:color w:val="auto"/>
              </w:rPr>
            </w:pPr>
            <w:r>
              <w:rPr>
                <w:rFonts w:ascii="Arial" w:cs="Arial" w:eastAsia="Arial" w:hAnsi="Arial"/>
                <w:sz w:val="18"/>
                <w:szCs w:val="18"/>
                <w:color w:val="0000EE"/>
              </w:rPr>
              <w:t>McLean.*</w:t>
            </w:r>
          </w:p>
        </w:tc>
      </w:tr>
      <w:tr>
        <w:trPr>
          <w:trHeight w:val="20"/>
        </w:trPr>
        <w:tc>
          <w:tcPr>
            <w:tcW w:w="4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360" w:type="dxa"/>
            <w:vAlign w:val="bottom"/>
            <w:gridSpan w:val="2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3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3</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0" w:type="dxa"/>
            <w:vAlign w:val="bottom"/>
            <w:tcBorders>
              <w:bottom w:val="single" w:sz="8" w:color="0000EE"/>
            </w:tcBorders>
            <w:gridSpan w:val="30"/>
          </w:tcPr>
          <w:p>
            <w:pPr>
              <w:spacing w:after="0"/>
              <w:rPr>
                <w:sz w:val="20"/>
                <w:szCs w:val="20"/>
                <w:color w:val="auto"/>
              </w:rPr>
            </w:pPr>
            <w:r>
              <w:rPr>
                <w:rFonts w:ascii="Arial" w:cs="Arial" w:eastAsia="Arial" w:hAnsi="Arial"/>
                <w:sz w:val="18"/>
                <w:szCs w:val="18"/>
                <w:color w:val="0000EE"/>
                <w:w w:val="91"/>
              </w:rPr>
              <w:t>Sign-On Restricted Stock Unit Agreement dated November 1, 2022, by and between Lands’ End, Inc. and Andrew J. McLean.*</w:t>
            </w:r>
          </w:p>
        </w:tc>
        <w:tc>
          <w:tcPr>
            <w:tcW w:w="120" w:type="dxa"/>
            <w:vAlign w:val="bottom"/>
            <w:gridSpan w:val="3"/>
          </w:tcPr>
          <w:p>
            <w:pPr>
              <w:spacing w:after="0"/>
              <w:rPr>
                <w:sz w:val="24"/>
                <w:szCs w:val="24"/>
                <w:color w:val="auto"/>
              </w:rPr>
            </w:pPr>
          </w:p>
        </w:tc>
      </w:tr>
      <w:tr>
        <w:trPr>
          <w:trHeight w:val="304"/>
        </w:trPr>
        <w:tc>
          <w:tcPr>
            <w:tcW w:w="10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7"/>
                <w:szCs w:val="17"/>
                <w:color w:val="0000EE"/>
                <w:w w:val="70"/>
              </w:rPr>
              <w:t>107.</w:t>
            </w:r>
            <w:r>
              <w:rPr>
                <w:rFonts w:ascii="Arial" w:cs="Arial" w:eastAsia="Arial" w:hAnsi="Arial"/>
                <w:sz w:val="17"/>
                <w:szCs w:val="17"/>
                <w:u w:val="single" w:color="auto"/>
                <w:color w:val="0000EE"/>
                <w:w w:val="70"/>
              </w:rPr>
              <w:t>1</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3"/>
          </w:tcPr>
          <w:p>
            <w:pPr>
              <w:spacing w:after="0"/>
              <w:rPr>
                <w:sz w:val="20"/>
                <w:szCs w:val="20"/>
                <w:color w:val="auto"/>
              </w:rPr>
            </w:pPr>
            <w:r>
              <w:rPr>
                <w:rFonts w:ascii="Arial" w:cs="Arial" w:eastAsia="Arial" w:hAnsi="Arial"/>
                <w:sz w:val="18"/>
                <w:szCs w:val="18"/>
                <w:color w:val="0000EE"/>
              </w:rPr>
              <w:t>Filing Fees.</w:t>
            </w: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*Filed herewith.</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1300" w:hanging="51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960" w:hanging="526"/>
        <w:spacing w:after="0"/>
        <w:tabs>
          <w:tab w:leader="none" w:pos="196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48" w:lineRule="exact"/>
        <w:rPr>
          <w:rFonts w:ascii="Arial" w:cs="Arial" w:eastAsia="Arial" w:hAnsi="Arial"/>
          <w:sz w:val="16"/>
          <w:szCs w:val="16"/>
          <w:color w:val="auto"/>
        </w:rPr>
      </w:pPr>
    </w:p>
    <w:p>
      <w:pPr>
        <w:ind w:left="2620" w:hanging="539"/>
        <w:spacing w:after="0"/>
        <w:tabs>
          <w:tab w:leader="none" w:pos="2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500" w:right="20" w:firstLine="581"/>
        <w:spacing w:after="0" w:line="291" w:lineRule="auto"/>
        <w:tabs>
          <w:tab w:leader="none" w:pos="2573" w:val="left"/>
        </w:tabs>
        <w:numPr>
          <w:ilvl w:val="2"/>
          <w:numId w:val="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904" w:right="339" w:bottom="236" w:gutter="0" w:footer="0" w:header="0"/>
        </w:sectPr>
      </w:pPr>
    </w:p>
    <w:bookmarkStart w:id="5" w:name="page6"/>
    <w:bookmarkEnd w:id="5"/>
    <w:p>
      <w:pPr>
        <w:ind w:left="650" w:right="60" w:firstLine="581"/>
        <w:spacing w:after="0" w:line="277" w:lineRule="auto"/>
        <w:tabs>
          <w:tab w:leader="none" w:pos="1683"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jc w:val="both"/>
        <w:ind w:left="10"/>
        <w:spacing w:after="0" w:line="263"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84" w:lineRule="exact"/>
        <w:rPr>
          <w:sz w:val="20"/>
          <w:szCs w:val="20"/>
          <w:color w:val="auto"/>
        </w:rPr>
      </w:pPr>
    </w:p>
    <w:p>
      <w:pPr>
        <w:jc w:val="both"/>
        <w:ind w:left="10" w:right="40" w:firstLine="638"/>
        <w:spacing w:after="0" w:line="263" w:lineRule="auto"/>
        <w:tabs>
          <w:tab w:leader="none" w:pos="1047"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0" w:right="60" w:firstLine="638"/>
        <w:spacing w:after="0" w:line="277" w:lineRule="auto"/>
        <w:tabs>
          <w:tab w:leader="none" w:pos="1047"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10" w:right="20" w:firstLine="710"/>
        <w:spacing w:after="0" w:line="257" w:lineRule="auto"/>
        <w:tabs>
          <w:tab w:leader="none" w:pos="39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710" w:firstLine="710"/>
        <w:spacing w:after="0" w:line="254" w:lineRule="auto"/>
        <w:tabs>
          <w:tab w:leader="none" w:pos="42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30"/>
          </w:cols>
          <w:pgMar w:left="1170" w:top="908" w:right="39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Dodgeville, Wisconsin, on November 4, 2022.</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LANDS’ END, INC.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Gooch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Name: James Gooch</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7" w:name="page8"/>
    <w:bookmarkEnd w:id="7"/>
    <w:p>
      <w:pPr>
        <w:ind w:right="20" w:firstLine="648"/>
        <w:spacing w:after="0" w:line="269" w:lineRule="auto"/>
        <w:rPr>
          <w:sz w:val="20"/>
          <w:szCs w:val="20"/>
          <w:color w:val="auto"/>
        </w:rPr>
      </w:pPr>
      <w:r>
        <w:rPr>
          <w:rFonts w:ascii="Arial" w:cs="Arial" w:eastAsia="Arial" w:hAnsi="Arial"/>
          <w:sz w:val="17"/>
          <w:szCs w:val="17"/>
          <w:color w:val="auto"/>
        </w:rPr>
        <w:t>KNOW ALL PERSONS BY THESE PRESENTS, that each person whose signature appears below does hereby constitute and appoint JAMES GOOCH, BERNARD L. MCCRACKEN and PETER L. GRAY, and each of them, with full power of substitution, such person’s true and lawful attorneys-in-fact and agents for such person, with full power and authority to do any and all acts and things and to execute any and all instruments and amendments (including post-effective amendments)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with all exhibits thereto, and each of the undersigned hereby ratifies and confirms that all said attorneys and agents, or any one of them, shall do or cause to be done by virtue hereof. This Power of Attorney may be signed in several counterparts.</w:t>
      </w:r>
    </w:p>
    <w:p>
      <w:pPr>
        <w:spacing w:after="0" w:line="18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25"/>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Jerome Griffith</w:t>
            </w:r>
          </w:p>
        </w:tc>
        <w:tc>
          <w:tcPr>
            <w:tcW w:w="220" w:type="dxa"/>
            <w:vAlign w:val="bottom"/>
          </w:tcPr>
          <w:p>
            <w:pPr>
              <w:spacing w:after="0"/>
              <w:rPr>
                <w:sz w:val="24"/>
                <w:szCs w:val="24"/>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Director and Chief Executive Officer</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20" w:type="dxa"/>
            <w:vAlign w:val="bottom"/>
          </w:tcPr>
          <w:p>
            <w:pPr>
              <w:ind w:left="100"/>
              <w:spacing w:after="0"/>
              <w:rPr>
                <w:sz w:val="20"/>
                <w:szCs w:val="20"/>
                <w:color w:val="auto"/>
              </w:rPr>
            </w:pPr>
            <w:r>
              <w:rPr>
                <w:rFonts w:ascii="Arial" w:cs="Arial" w:eastAsia="Arial" w:hAnsi="Arial"/>
                <w:sz w:val="18"/>
                <w:szCs w:val="18"/>
                <w:color w:val="auto"/>
              </w:rPr>
              <w:t>Jerome Griffith</w:t>
            </w:r>
          </w:p>
        </w:tc>
        <w:tc>
          <w:tcPr>
            <w:tcW w:w="220" w:type="dxa"/>
            <w:vAlign w:val="bottom"/>
          </w:tcPr>
          <w:p>
            <w:pPr>
              <w:spacing w:after="0"/>
              <w:rPr>
                <w:sz w:val="19"/>
                <w:szCs w:val="19"/>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ind w:left="100"/>
              <w:spacing w:after="0"/>
              <w:rPr>
                <w:sz w:val="20"/>
                <w:szCs w:val="20"/>
                <w:color w:val="auto"/>
              </w:rPr>
            </w:pPr>
            <w:r>
              <w:rPr>
                <w:rFonts w:ascii="Arial" w:cs="Arial" w:eastAsia="Arial" w:hAnsi="Arial"/>
                <w:sz w:val="18"/>
                <w:szCs w:val="18"/>
                <w:color w:val="auto"/>
              </w:rPr>
              <w:t>November 4, 2022</w:t>
            </w: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Gooch</w:t>
            </w:r>
          </w:p>
        </w:tc>
        <w:tc>
          <w:tcPr>
            <w:tcW w:w="220" w:type="dxa"/>
            <w:vAlign w:val="bottom"/>
          </w:tcPr>
          <w:p>
            <w:pPr>
              <w:spacing w:after="0"/>
              <w:rPr>
                <w:sz w:val="24"/>
                <w:szCs w:val="24"/>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President and Chief Financial Officer</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20" w:type="dxa"/>
            <w:vAlign w:val="bottom"/>
          </w:tcPr>
          <w:p>
            <w:pPr>
              <w:ind w:left="100"/>
              <w:spacing w:after="0"/>
              <w:rPr>
                <w:sz w:val="20"/>
                <w:szCs w:val="20"/>
                <w:color w:val="auto"/>
              </w:rPr>
            </w:pPr>
            <w:r>
              <w:rPr>
                <w:rFonts w:ascii="Arial" w:cs="Arial" w:eastAsia="Arial" w:hAnsi="Arial"/>
                <w:sz w:val="18"/>
                <w:szCs w:val="18"/>
                <w:color w:val="auto"/>
              </w:rPr>
              <w:t>James Gooch</w:t>
            </w:r>
          </w:p>
        </w:tc>
        <w:tc>
          <w:tcPr>
            <w:tcW w:w="220" w:type="dxa"/>
            <w:vAlign w:val="bottom"/>
          </w:tcPr>
          <w:p>
            <w:pPr>
              <w:spacing w:after="0"/>
              <w:rPr>
                <w:sz w:val="19"/>
                <w:szCs w:val="19"/>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(Principal Financial Officer)</w:t>
            </w:r>
          </w:p>
        </w:tc>
        <w:tc>
          <w:tcPr>
            <w:tcW w:w="3600" w:type="dxa"/>
            <w:vAlign w:val="bottom"/>
          </w:tcPr>
          <w:p>
            <w:pPr>
              <w:ind w:left="100"/>
              <w:spacing w:after="0"/>
              <w:rPr>
                <w:sz w:val="20"/>
                <w:szCs w:val="20"/>
                <w:color w:val="auto"/>
              </w:rPr>
            </w:pPr>
            <w:r>
              <w:rPr>
                <w:rFonts w:ascii="Arial" w:cs="Arial" w:eastAsia="Arial" w:hAnsi="Arial"/>
                <w:sz w:val="18"/>
                <w:szCs w:val="18"/>
                <w:color w:val="auto"/>
              </w:rPr>
              <w:t>November 4, 2022</w:t>
            </w:r>
          </w:p>
        </w:tc>
        <w:tc>
          <w:tcPr>
            <w:tcW w:w="0" w:type="dxa"/>
            <w:vAlign w:val="bottom"/>
          </w:tcPr>
          <w:p>
            <w:pPr>
              <w:spacing w:after="0"/>
              <w:rPr>
                <w:sz w:val="1"/>
                <w:szCs w:val="1"/>
                <w:color w:val="auto"/>
              </w:rPr>
            </w:pPr>
          </w:p>
        </w:tc>
      </w:tr>
      <w:tr>
        <w:trPr>
          <w:trHeight w:val="40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Vice President, Controller and Chief</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Bernard McCracken</w:t>
            </w:r>
          </w:p>
        </w:tc>
        <w:tc>
          <w:tcPr>
            <w:tcW w:w="220" w:type="dxa"/>
            <w:vAlign w:val="bottom"/>
          </w:tcPr>
          <w:p>
            <w:pPr>
              <w:spacing w:after="0"/>
              <w:rPr>
                <w:sz w:val="20"/>
                <w:szCs w:val="20"/>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Accounting</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20" w:type="dxa"/>
            <w:vAlign w:val="bottom"/>
          </w:tcPr>
          <w:p>
            <w:pPr>
              <w:ind w:left="100"/>
              <w:spacing w:after="0"/>
              <w:rPr>
                <w:sz w:val="20"/>
                <w:szCs w:val="20"/>
                <w:color w:val="auto"/>
              </w:rPr>
            </w:pPr>
            <w:r>
              <w:rPr>
                <w:rFonts w:ascii="Arial" w:cs="Arial" w:eastAsia="Arial" w:hAnsi="Arial"/>
                <w:sz w:val="18"/>
                <w:szCs w:val="18"/>
                <w:color w:val="auto"/>
              </w:rPr>
              <w:t>Bernard McCracken</w:t>
            </w:r>
          </w:p>
        </w:tc>
        <w:tc>
          <w:tcPr>
            <w:tcW w:w="220" w:type="dxa"/>
            <w:vAlign w:val="bottom"/>
          </w:tcPr>
          <w:p>
            <w:pPr>
              <w:spacing w:after="0"/>
              <w:rPr>
                <w:sz w:val="19"/>
                <w:szCs w:val="19"/>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Officer (Principal Accounting Officer)</w:t>
            </w:r>
          </w:p>
        </w:tc>
        <w:tc>
          <w:tcPr>
            <w:tcW w:w="3600" w:type="dxa"/>
            <w:vAlign w:val="bottom"/>
          </w:tcPr>
          <w:p>
            <w:pPr>
              <w:ind w:left="100"/>
              <w:spacing w:after="0"/>
              <w:rPr>
                <w:sz w:val="20"/>
                <w:szCs w:val="20"/>
                <w:color w:val="auto"/>
              </w:rPr>
            </w:pPr>
            <w:r>
              <w:rPr>
                <w:rFonts w:ascii="Arial" w:cs="Arial" w:eastAsia="Arial" w:hAnsi="Arial"/>
                <w:sz w:val="18"/>
                <w:szCs w:val="18"/>
                <w:color w:val="auto"/>
              </w:rPr>
              <w:t>November 4, 2022</w:t>
            </w: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Josephine Linden</w:t>
            </w:r>
          </w:p>
        </w:tc>
        <w:tc>
          <w:tcPr>
            <w:tcW w:w="220" w:type="dxa"/>
            <w:vAlign w:val="bottom"/>
          </w:tcPr>
          <w:p>
            <w:pPr>
              <w:spacing w:after="0"/>
              <w:rPr>
                <w:sz w:val="24"/>
                <w:szCs w:val="24"/>
                <w:color w:val="auto"/>
              </w:rPr>
            </w:pPr>
          </w:p>
        </w:tc>
        <w:tc>
          <w:tcPr>
            <w:tcW w:w="3800" w:type="dxa"/>
            <w:vAlign w:val="bottom"/>
            <w:gridSpan w:val="2"/>
            <w:vMerge w:val="restart"/>
          </w:tcPr>
          <w:p>
            <w:pPr>
              <w:ind w:left="100"/>
              <w:spacing w:after="0"/>
              <w:rPr>
                <w:sz w:val="20"/>
                <w:szCs w:val="20"/>
                <w:color w:val="auto"/>
              </w:rPr>
            </w:pPr>
            <w:r>
              <w:rPr>
                <w:rFonts w:ascii="Arial" w:cs="Arial" w:eastAsia="Arial" w:hAnsi="Arial"/>
                <w:sz w:val="18"/>
                <w:szCs w:val="18"/>
                <w:color w:val="auto"/>
              </w:rPr>
              <w:t>Chair of the Board of Directors</w:t>
            </w:r>
          </w:p>
        </w:tc>
        <w:tc>
          <w:tcPr>
            <w:tcW w:w="3600" w:type="dxa"/>
            <w:vAlign w:val="bottom"/>
            <w:vMerge w:val="restart"/>
          </w:tcPr>
          <w:p>
            <w:pPr>
              <w:ind w:left="100"/>
              <w:spacing w:after="0"/>
              <w:rPr>
                <w:sz w:val="20"/>
                <w:szCs w:val="20"/>
                <w:color w:val="auto"/>
              </w:rPr>
            </w:pPr>
            <w:r>
              <w:rPr>
                <w:rFonts w:ascii="Arial" w:cs="Arial" w:eastAsia="Arial" w:hAnsi="Arial"/>
                <w:sz w:val="18"/>
                <w:szCs w:val="18"/>
                <w:color w:val="auto"/>
              </w:rPr>
              <w:t>November 4, 2022</w:t>
            </w:r>
          </w:p>
        </w:tc>
        <w:tc>
          <w:tcPr>
            <w:tcW w:w="0" w:type="dxa"/>
            <w:vAlign w:val="bottom"/>
          </w:tcPr>
          <w:p>
            <w:pPr>
              <w:spacing w:after="0"/>
              <w:rPr>
                <w:sz w:val="1"/>
                <w:szCs w:val="1"/>
                <w:color w:val="auto"/>
              </w:rPr>
            </w:pPr>
          </w:p>
        </w:tc>
      </w:tr>
      <w:tr>
        <w:trPr>
          <w:trHeight w:val="224"/>
        </w:trPr>
        <w:tc>
          <w:tcPr>
            <w:tcW w:w="3620" w:type="dxa"/>
            <w:vAlign w:val="bottom"/>
          </w:tcPr>
          <w:p>
            <w:pPr>
              <w:ind w:left="100"/>
              <w:spacing w:after="0"/>
              <w:rPr>
                <w:sz w:val="20"/>
                <w:szCs w:val="20"/>
                <w:color w:val="auto"/>
              </w:rPr>
            </w:pPr>
            <w:r>
              <w:rPr>
                <w:rFonts w:ascii="Arial" w:cs="Arial" w:eastAsia="Arial" w:hAnsi="Arial"/>
                <w:sz w:val="18"/>
                <w:szCs w:val="18"/>
                <w:color w:val="auto"/>
              </w:rPr>
              <w:t>Josephine Linden</w:t>
            </w:r>
          </w:p>
        </w:tc>
        <w:tc>
          <w:tcPr>
            <w:tcW w:w="220" w:type="dxa"/>
            <w:vAlign w:val="bottom"/>
          </w:tcPr>
          <w:p>
            <w:pPr>
              <w:spacing w:after="0"/>
              <w:rPr>
                <w:sz w:val="19"/>
                <w:szCs w:val="19"/>
                <w:color w:val="auto"/>
              </w:rPr>
            </w:pPr>
          </w:p>
        </w:tc>
        <w:tc>
          <w:tcPr>
            <w:tcW w:w="3800" w:type="dxa"/>
            <w:vAlign w:val="bottom"/>
            <w:gridSpan w:val="2"/>
            <w:vMerge w:val="continue"/>
          </w:tcPr>
          <w:p>
            <w:pPr>
              <w:spacing w:after="0"/>
              <w:rPr>
                <w:sz w:val="19"/>
                <w:szCs w:val="19"/>
                <w:color w:val="auto"/>
              </w:rPr>
            </w:pPr>
          </w:p>
        </w:tc>
        <w:tc>
          <w:tcPr>
            <w:tcW w:w="3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Galvin</w:t>
            </w:r>
          </w:p>
        </w:tc>
        <w:tc>
          <w:tcPr>
            <w:tcW w:w="220" w:type="dxa"/>
            <w:vAlign w:val="bottom"/>
          </w:tcPr>
          <w:p>
            <w:pPr>
              <w:spacing w:after="0"/>
              <w:rPr>
                <w:sz w:val="24"/>
                <w:szCs w:val="24"/>
                <w:color w:val="auto"/>
              </w:rPr>
            </w:pPr>
          </w:p>
        </w:tc>
        <w:tc>
          <w:tcPr>
            <w:tcW w:w="3800" w:type="dxa"/>
            <w:vAlign w:val="bottom"/>
            <w:gridSpan w:val="2"/>
            <w:vMerge w:val="restart"/>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vMerge w:val="restart"/>
          </w:tcPr>
          <w:p>
            <w:pPr>
              <w:ind w:left="100"/>
              <w:spacing w:after="0"/>
              <w:rPr>
                <w:sz w:val="20"/>
                <w:szCs w:val="20"/>
                <w:color w:val="auto"/>
              </w:rPr>
            </w:pPr>
            <w:r>
              <w:rPr>
                <w:rFonts w:ascii="Arial" w:cs="Arial" w:eastAsia="Arial" w:hAnsi="Arial"/>
                <w:sz w:val="18"/>
                <w:szCs w:val="18"/>
                <w:color w:val="auto"/>
              </w:rPr>
              <w:t>November 4, 2022</w:t>
            </w:r>
          </w:p>
        </w:tc>
        <w:tc>
          <w:tcPr>
            <w:tcW w:w="0" w:type="dxa"/>
            <w:vAlign w:val="bottom"/>
          </w:tcPr>
          <w:p>
            <w:pPr>
              <w:spacing w:after="0"/>
              <w:rPr>
                <w:sz w:val="1"/>
                <w:szCs w:val="1"/>
                <w:color w:val="auto"/>
              </w:rPr>
            </w:pPr>
          </w:p>
        </w:tc>
      </w:tr>
      <w:tr>
        <w:trPr>
          <w:trHeight w:val="224"/>
        </w:trPr>
        <w:tc>
          <w:tcPr>
            <w:tcW w:w="3620" w:type="dxa"/>
            <w:vAlign w:val="bottom"/>
          </w:tcPr>
          <w:p>
            <w:pPr>
              <w:ind w:left="100"/>
              <w:spacing w:after="0"/>
              <w:rPr>
                <w:sz w:val="20"/>
                <w:szCs w:val="20"/>
                <w:color w:val="auto"/>
              </w:rPr>
            </w:pPr>
            <w:r>
              <w:rPr>
                <w:rFonts w:ascii="Arial" w:cs="Arial" w:eastAsia="Arial" w:hAnsi="Arial"/>
                <w:sz w:val="18"/>
                <w:szCs w:val="18"/>
                <w:color w:val="auto"/>
              </w:rPr>
              <w:t>Robert Galvin</w:t>
            </w:r>
          </w:p>
        </w:tc>
        <w:tc>
          <w:tcPr>
            <w:tcW w:w="220" w:type="dxa"/>
            <w:vAlign w:val="bottom"/>
          </w:tcPr>
          <w:p>
            <w:pPr>
              <w:spacing w:after="0"/>
              <w:rPr>
                <w:sz w:val="19"/>
                <w:szCs w:val="19"/>
                <w:color w:val="auto"/>
              </w:rPr>
            </w:pPr>
          </w:p>
        </w:tc>
        <w:tc>
          <w:tcPr>
            <w:tcW w:w="3800" w:type="dxa"/>
            <w:vAlign w:val="bottom"/>
            <w:gridSpan w:val="2"/>
            <w:vMerge w:val="continue"/>
          </w:tcPr>
          <w:p>
            <w:pPr>
              <w:spacing w:after="0"/>
              <w:rPr>
                <w:sz w:val="19"/>
                <w:szCs w:val="19"/>
                <w:color w:val="auto"/>
              </w:rPr>
            </w:pPr>
          </w:p>
        </w:tc>
        <w:tc>
          <w:tcPr>
            <w:tcW w:w="3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Elizabeth Leykum</w:t>
            </w:r>
          </w:p>
        </w:tc>
        <w:tc>
          <w:tcPr>
            <w:tcW w:w="220" w:type="dxa"/>
            <w:vAlign w:val="bottom"/>
          </w:tcPr>
          <w:p>
            <w:pPr>
              <w:spacing w:after="0"/>
              <w:rPr>
                <w:sz w:val="24"/>
                <w:szCs w:val="24"/>
                <w:color w:val="auto"/>
              </w:rPr>
            </w:pPr>
          </w:p>
        </w:tc>
        <w:tc>
          <w:tcPr>
            <w:tcW w:w="3800" w:type="dxa"/>
            <w:vAlign w:val="bottom"/>
            <w:gridSpan w:val="2"/>
            <w:vMerge w:val="restart"/>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vMerge w:val="restart"/>
          </w:tcPr>
          <w:p>
            <w:pPr>
              <w:ind w:left="100"/>
              <w:spacing w:after="0"/>
              <w:rPr>
                <w:sz w:val="20"/>
                <w:szCs w:val="20"/>
                <w:color w:val="auto"/>
              </w:rPr>
            </w:pPr>
            <w:r>
              <w:rPr>
                <w:rFonts w:ascii="Arial" w:cs="Arial" w:eastAsia="Arial" w:hAnsi="Arial"/>
                <w:sz w:val="18"/>
                <w:szCs w:val="18"/>
                <w:color w:val="auto"/>
              </w:rPr>
              <w:t>November 4, 2022</w:t>
            </w:r>
          </w:p>
        </w:tc>
        <w:tc>
          <w:tcPr>
            <w:tcW w:w="0" w:type="dxa"/>
            <w:vAlign w:val="bottom"/>
          </w:tcPr>
          <w:p>
            <w:pPr>
              <w:spacing w:after="0"/>
              <w:rPr>
                <w:sz w:val="1"/>
                <w:szCs w:val="1"/>
                <w:color w:val="auto"/>
              </w:rPr>
            </w:pPr>
          </w:p>
        </w:tc>
      </w:tr>
      <w:tr>
        <w:trPr>
          <w:trHeight w:val="224"/>
        </w:trPr>
        <w:tc>
          <w:tcPr>
            <w:tcW w:w="3620" w:type="dxa"/>
            <w:vAlign w:val="bottom"/>
          </w:tcPr>
          <w:p>
            <w:pPr>
              <w:ind w:left="100"/>
              <w:spacing w:after="0"/>
              <w:rPr>
                <w:sz w:val="20"/>
                <w:szCs w:val="20"/>
                <w:color w:val="auto"/>
              </w:rPr>
            </w:pPr>
            <w:r>
              <w:rPr>
                <w:rFonts w:ascii="Arial" w:cs="Arial" w:eastAsia="Arial" w:hAnsi="Arial"/>
                <w:sz w:val="18"/>
                <w:szCs w:val="18"/>
                <w:color w:val="auto"/>
              </w:rPr>
              <w:t>Elizabeth Leykum</w:t>
            </w:r>
          </w:p>
        </w:tc>
        <w:tc>
          <w:tcPr>
            <w:tcW w:w="220" w:type="dxa"/>
            <w:vAlign w:val="bottom"/>
          </w:tcPr>
          <w:p>
            <w:pPr>
              <w:spacing w:after="0"/>
              <w:rPr>
                <w:sz w:val="19"/>
                <w:szCs w:val="19"/>
                <w:color w:val="auto"/>
              </w:rPr>
            </w:pPr>
          </w:p>
        </w:tc>
        <w:tc>
          <w:tcPr>
            <w:tcW w:w="3800" w:type="dxa"/>
            <w:vAlign w:val="bottom"/>
            <w:gridSpan w:val="2"/>
            <w:vMerge w:val="continue"/>
          </w:tcPr>
          <w:p>
            <w:pPr>
              <w:spacing w:after="0"/>
              <w:rPr>
                <w:sz w:val="19"/>
                <w:szCs w:val="19"/>
                <w:color w:val="auto"/>
              </w:rPr>
            </w:pPr>
          </w:p>
        </w:tc>
        <w:tc>
          <w:tcPr>
            <w:tcW w:w="3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John T. McClain</w:t>
            </w:r>
          </w:p>
        </w:tc>
        <w:tc>
          <w:tcPr>
            <w:tcW w:w="220" w:type="dxa"/>
            <w:vAlign w:val="bottom"/>
          </w:tcPr>
          <w:p>
            <w:pPr>
              <w:spacing w:after="0"/>
              <w:rPr>
                <w:sz w:val="24"/>
                <w:szCs w:val="24"/>
                <w:color w:val="auto"/>
              </w:rPr>
            </w:pPr>
          </w:p>
        </w:tc>
        <w:tc>
          <w:tcPr>
            <w:tcW w:w="3800" w:type="dxa"/>
            <w:vAlign w:val="bottom"/>
            <w:gridSpan w:val="2"/>
            <w:vMerge w:val="restart"/>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vMerge w:val="restart"/>
          </w:tcPr>
          <w:p>
            <w:pPr>
              <w:ind w:left="100"/>
              <w:spacing w:after="0"/>
              <w:rPr>
                <w:sz w:val="20"/>
                <w:szCs w:val="20"/>
                <w:color w:val="auto"/>
              </w:rPr>
            </w:pPr>
            <w:r>
              <w:rPr>
                <w:rFonts w:ascii="Arial" w:cs="Arial" w:eastAsia="Arial" w:hAnsi="Arial"/>
                <w:sz w:val="18"/>
                <w:szCs w:val="18"/>
                <w:color w:val="auto"/>
              </w:rPr>
              <w:t>November 4, 2022</w:t>
            </w:r>
          </w:p>
        </w:tc>
        <w:tc>
          <w:tcPr>
            <w:tcW w:w="0" w:type="dxa"/>
            <w:vAlign w:val="bottom"/>
          </w:tcPr>
          <w:p>
            <w:pPr>
              <w:spacing w:after="0"/>
              <w:rPr>
                <w:sz w:val="1"/>
                <w:szCs w:val="1"/>
                <w:color w:val="auto"/>
              </w:rPr>
            </w:pPr>
          </w:p>
        </w:tc>
      </w:tr>
      <w:tr>
        <w:trPr>
          <w:trHeight w:val="224"/>
        </w:trPr>
        <w:tc>
          <w:tcPr>
            <w:tcW w:w="3620" w:type="dxa"/>
            <w:vAlign w:val="bottom"/>
          </w:tcPr>
          <w:p>
            <w:pPr>
              <w:ind w:left="100"/>
              <w:spacing w:after="0"/>
              <w:rPr>
                <w:sz w:val="20"/>
                <w:szCs w:val="20"/>
                <w:color w:val="auto"/>
              </w:rPr>
            </w:pPr>
            <w:r>
              <w:rPr>
                <w:rFonts w:ascii="Arial" w:cs="Arial" w:eastAsia="Arial" w:hAnsi="Arial"/>
                <w:sz w:val="18"/>
                <w:szCs w:val="18"/>
                <w:color w:val="auto"/>
              </w:rPr>
              <w:t>John T. McClain</w:t>
            </w:r>
          </w:p>
        </w:tc>
        <w:tc>
          <w:tcPr>
            <w:tcW w:w="220" w:type="dxa"/>
            <w:vAlign w:val="bottom"/>
          </w:tcPr>
          <w:p>
            <w:pPr>
              <w:spacing w:after="0"/>
              <w:rPr>
                <w:sz w:val="19"/>
                <w:szCs w:val="19"/>
                <w:color w:val="auto"/>
              </w:rPr>
            </w:pPr>
          </w:p>
        </w:tc>
        <w:tc>
          <w:tcPr>
            <w:tcW w:w="3800" w:type="dxa"/>
            <w:vAlign w:val="bottom"/>
            <w:gridSpan w:val="2"/>
            <w:vMerge w:val="continue"/>
          </w:tcPr>
          <w:p>
            <w:pPr>
              <w:spacing w:after="0"/>
              <w:rPr>
                <w:sz w:val="19"/>
                <w:szCs w:val="19"/>
                <w:color w:val="auto"/>
              </w:rPr>
            </w:pPr>
          </w:p>
        </w:tc>
        <w:tc>
          <w:tcPr>
            <w:tcW w:w="3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Andrew J. McLean</w:t>
            </w:r>
          </w:p>
        </w:tc>
        <w:tc>
          <w:tcPr>
            <w:tcW w:w="220" w:type="dxa"/>
            <w:vAlign w:val="bottom"/>
          </w:tcPr>
          <w:p>
            <w:pPr>
              <w:spacing w:after="0"/>
              <w:rPr>
                <w:sz w:val="24"/>
                <w:szCs w:val="24"/>
                <w:color w:val="auto"/>
              </w:rPr>
            </w:pPr>
          </w:p>
        </w:tc>
        <w:tc>
          <w:tcPr>
            <w:tcW w:w="3800" w:type="dxa"/>
            <w:vAlign w:val="bottom"/>
            <w:gridSpan w:val="2"/>
            <w:vMerge w:val="restart"/>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vMerge w:val="restart"/>
          </w:tcPr>
          <w:p>
            <w:pPr>
              <w:ind w:left="100"/>
              <w:spacing w:after="0"/>
              <w:rPr>
                <w:sz w:val="20"/>
                <w:szCs w:val="20"/>
                <w:color w:val="auto"/>
              </w:rPr>
            </w:pPr>
            <w:r>
              <w:rPr>
                <w:rFonts w:ascii="Arial" w:cs="Arial" w:eastAsia="Arial" w:hAnsi="Arial"/>
                <w:sz w:val="18"/>
                <w:szCs w:val="18"/>
                <w:color w:val="auto"/>
              </w:rPr>
              <w:t>November 4, 2022</w:t>
            </w:r>
          </w:p>
        </w:tc>
        <w:tc>
          <w:tcPr>
            <w:tcW w:w="0" w:type="dxa"/>
            <w:vAlign w:val="bottom"/>
          </w:tcPr>
          <w:p>
            <w:pPr>
              <w:spacing w:after="0"/>
              <w:rPr>
                <w:sz w:val="1"/>
                <w:szCs w:val="1"/>
                <w:color w:val="auto"/>
              </w:rPr>
            </w:pPr>
          </w:p>
        </w:tc>
      </w:tr>
      <w:tr>
        <w:trPr>
          <w:trHeight w:val="224"/>
        </w:trPr>
        <w:tc>
          <w:tcPr>
            <w:tcW w:w="3620" w:type="dxa"/>
            <w:vAlign w:val="bottom"/>
          </w:tcPr>
          <w:p>
            <w:pPr>
              <w:ind w:left="100"/>
              <w:spacing w:after="0"/>
              <w:rPr>
                <w:sz w:val="20"/>
                <w:szCs w:val="20"/>
                <w:color w:val="auto"/>
              </w:rPr>
            </w:pPr>
            <w:r>
              <w:rPr>
                <w:rFonts w:ascii="Arial" w:cs="Arial" w:eastAsia="Arial" w:hAnsi="Arial"/>
                <w:sz w:val="18"/>
                <w:szCs w:val="18"/>
                <w:color w:val="auto"/>
              </w:rPr>
              <w:t>Andrew J. McLean</w:t>
            </w:r>
          </w:p>
        </w:tc>
        <w:tc>
          <w:tcPr>
            <w:tcW w:w="220" w:type="dxa"/>
            <w:vAlign w:val="bottom"/>
          </w:tcPr>
          <w:p>
            <w:pPr>
              <w:spacing w:after="0"/>
              <w:rPr>
                <w:sz w:val="19"/>
                <w:szCs w:val="19"/>
                <w:color w:val="auto"/>
              </w:rPr>
            </w:pPr>
          </w:p>
        </w:tc>
        <w:tc>
          <w:tcPr>
            <w:tcW w:w="3800" w:type="dxa"/>
            <w:vAlign w:val="bottom"/>
            <w:gridSpan w:val="2"/>
            <w:vMerge w:val="continue"/>
          </w:tcPr>
          <w:p>
            <w:pPr>
              <w:spacing w:after="0"/>
              <w:rPr>
                <w:sz w:val="19"/>
                <w:szCs w:val="19"/>
                <w:color w:val="auto"/>
              </w:rPr>
            </w:pPr>
          </w:p>
        </w:tc>
        <w:tc>
          <w:tcPr>
            <w:tcW w:w="3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Maureen Mullen Murphy</w:t>
            </w:r>
          </w:p>
        </w:tc>
        <w:tc>
          <w:tcPr>
            <w:tcW w:w="220" w:type="dxa"/>
            <w:vAlign w:val="bottom"/>
          </w:tcPr>
          <w:p>
            <w:pPr>
              <w:spacing w:after="0"/>
              <w:rPr>
                <w:sz w:val="24"/>
                <w:szCs w:val="24"/>
                <w:color w:val="auto"/>
              </w:rPr>
            </w:pPr>
          </w:p>
        </w:tc>
        <w:tc>
          <w:tcPr>
            <w:tcW w:w="3800" w:type="dxa"/>
            <w:vAlign w:val="bottom"/>
            <w:gridSpan w:val="2"/>
            <w:vMerge w:val="restart"/>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vMerge w:val="restart"/>
          </w:tcPr>
          <w:p>
            <w:pPr>
              <w:ind w:left="100"/>
              <w:spacing w:after="0"/>
              <w:rPr>
                <w:sz w:val="20"/>
                <w:szCs w:val="20"/>
                <w:color w:val="auto"/>
              </w:rPr>
            </w:pPr>
            <w:r>
              <w:rPr>
                <w:rFonts w:ascii="Arial" w:cs="Arial" w:eastAsia="Arial" w:hAnsi="Arial"/>
                <w:sz w:val="18"/>
                <w:szCs w:val="18"/>
                <w:color w:val="auto"/>
              </w:rPr>
              <w:t>November 4, 2022</w:t>
            </w:r>
          </w:p>
        </w:tc>
        <w:tc>
          <w:tcPr>
            <w:tcW w:w="0" w:type="dxa"/>
            <w:vAlign w:val="bottom"/>
          </w:tcPr>
          <w:p>
            <w:pPr>
              <w:spacing w:after="0"/>
              <w:rPr>
                <w:sz w:val="1"/>
                <w:szCs w:val="1"/>
                <w:color w:val="auto"/>
              </w:rPr>
            </w:pPr>
          </w:p>
        </w:tc>
      </w:tr>
      <w:tr>
        <w:trPr>
          <w:trHeight w:val="224"/>
        </w:trPr>
        <w:tc>
          <w:tcPr>
            <w:tcW w:w="3620" w:type="dxa"/>
            <w:vAlign w:val="bottom"/>
          </w:tcPr>
          <w:p>
            <w:pPr>
              <w:ind w:left="100"/>
              <w:spacing w:after="0"/>
              <w:rPr>
                <w:sz w:val="20"/>
                <w:szCs w:val="20"/>
                <w:color w:val="auto"/>
              </w:rPr>
            </w:pPr>
            <w:r>
              <w:rPr>
                <w:rFonts w:ascii="Arial" w:cs="Arial" w:eastAsia="Arial" w:hAnsi="Arial"/>
                <w:sz w:val="18"/>
                <w:szCs w:val="18"/>
                <w:color w:val="auto"/>
              </w:rPr>
              <w:t>Maureen Mullen Murphy</w:t>
            </w:r>
          </w:p>
        </w:tc>
        <w:tc>
          <w:tcPr>
            <w:tcW w:w="220" w:type="dxa"/>
            <w:vAlign w:val="bottom"/>
          </w:tcPr>
          <w:p>
            <w:pPr>
              <w:spacing w:after="0"/>
              <w:rPr>
                <w:sz w:val="19"/>
                <w:szCs w:val="19"/>
                <w:color w:val="auto"/>
              </w:rPr>
            </w:pPr>
          </w:p>
        </w:tc>
        <w:tc>
          <w:tcPr>
            <w:tcW w:w="3800" w:type="dxa"/>
            <w:vAlign w:val="bottom"/>
            <w:gridSpan w:val="2"/>
            <w:vMerge w:val="continue"/>
          </w:tcPr>
          <w:p>
            <w:pPr>
              <w:spacing w:after="0"/>
              <w:rPr>
                <w:sz w:val="19"/>
                <w:szCs w:val="19"/>
                <w:color w:val="auto"/>
              </w:rPr>
            </w:pPr>
          </w:p>
        </w:tc>
        <w:tc>
          <w:tcPr>
            <w:tcW w:w="3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Jignesh Patel</w:t>
            </w:r>
          </w:p>
        </w:tc>
        <w:tc>
          <w:tcPr>
            <w:tcW w:w="220" w:type="dxa"/>
            <w:vAlign w:val="bottom"/>
          </w:tcPr>
          <w:p>
            <w:pPr>
              <w:spacing w:after="0"/>
              <w:rPr>
                <w:sz w:val="24"/>
                <w:szCs w:val="24"/>
                <w:color w:val="auto"/>
              </w:rPr>
            </w:pPr>
          </w:p>
        </w:tc>
        <w:tc>
          <w:tcPr>
            <w:tcW w:w="3800" w:type="dxa"/>
            <w:vAlign w:val="bottom"/>
            <w:gridSpan w:val="2"/>
            <w:vMerge w:val="restart"/>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vMerge w:val="restart"/>
          </w:tcPr>
          <w:p>
            <w:pPr>
              <w:ind w:left="100"/>
              <w:spacing w:after="0"/>
              <w:rPr>
                <w:sz w:val="20"/>
                <w:szCs w:val="20"/>
                <w:color w:val="auto"/>
              </w:rPr>
            </w:pPr>
            <w:r>
              <w:rPr>
                <w:rFonts w:ascii="Arial" w:cs="Arial" w:eastAsia="Arial" w:hAnsi="Arial"/>
                <w:sz w:val="18"/>
                <w:szCs w:val="18"/>
                <w:color w:val="auto"/>
              </w:rPr>
              <w:t>November 4, 2022</w:t>
            </w:r>
          </w:p>
        </w:tc>
        <w:tc>
          <w:tcPr>
            <w:tcW w:w="0" w:type="dxa"/>
            <w:vAlign w:val="bottom"/>
          </w:tcPr>
          <w:p>
            <w:pPr>
              <w:spacing w:after="0"/>
              <w:rPr>
                <w:sz w:val="1"/>
                <w:szCs w:val="1"/>
                <w:color w:val="auto"/>
              </w:rPr>
            </w:pPr>
          </w:p>
        </w:tc>
      </w:tr>
      <w:tr>
        <w:trPr>
          <w:trHeight w:val="224"/>
        </w:trPr>
        <w:tc>
          <w:tcPr>
            <w:tcW w:w="3620" w:type="dxa"/>
            <w:vAlign w:val="bottom"/>
          </w:tcPr>
          <w:p>
            <w:pPr>
              <w:ind w:left="100"/>
              <w:spacing w:after="0"/>
              <w:rPr>
                <w:sz w:val="20"/>
                <w:szCs w:val="20"/>
                <w:color w:val="auto"/>
              </w:rPr>
            </w:pPr>
            <w:r>
              <w:rPr>
                <w:rFonts w:ascii="Arial" w:cs="Arial" w:eastAsia="Arial" w:hAnsi="Arial"/>
                <w:sz w:val="18"/>
                <w:szCs w:val="18"/>
                <w:color w:val="auto"/>
              </w:rPr>
              <w:t>Jignesh Patel</w:t>
            </w:r>
          </w:p>
        </w:tc>
        <w:tc>
          <w:tcPr>
            <w:tcW w:w="220" w:type="dxa"/>
            <w:vAlign w:val="bottom"/>
          </w:tcPr>
          <w:p>
            <w:pPr>
              <w:spacing w:after="0"/>
              <w:rPr>
                <w:sz w:val="19"/>
                <w:szCs w:val="19"/>
                <w:color w:val="auto"/>
              </w:rPr>
            </w:pPr>
          </w:p>
        </w:tc>
        <w:tc>
          <w:tcPr>
            <w:tcW w:w="3800" w:type="dxa"/>
            <w:vAlign w:val="bottom"/>
            <w:gridSpan w:val="2"/>
            <w:vMerge w:val="continue"/>
          </w:tcPr>
          <w:p>
            <w:pPr>
              <w:spacing w:after="0"/>
              <w:rPr>
                <w:sz w:val="19"/>
                <w:szCs w:val="19"/>
                <w:color w:val="auto"/>
              </w:rPr>
            </w:pPr>
          </w:p>
        </w:tc>
        <w:tc>
          <w:tcPr>
            <w:tcW w:w="3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Jonah Staw</w:t>
            </w:r>
          </w:p>
        </w:tc>
        <w:tc>
          <w:tcPr>
            <w:tcW w:w="220" w:type="dxa"/>
            <w:vAlign w:val="bottom"/>
          </w:tcPr>
          <w:p>
            <w:pPr>
              <w:spacing w:after="0"/>
              <w:rPr>
                <w:sz w:val="24"/>
                <w:szCs w:val="24"/>
                <w:color w:val="auto"/>
              </w:rPr>
            </w:pPr>
          </w:p>
        </w:tc>
        <w:tc>
          <w:tcPr>
            <w:tcW w:w="3800" w:type="dxa"/>
            <w:vAlign w:val="bottom"/>
            <w:gridSpan w:val="2"/>
            <w:vMerge w:val="restart"/>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vMerge w:val="restart"/>
          </w:tcPr>
          <w:p>
            <w:pPr>
              <w:ind w:left="100"/>
              <w:spacing w:after="0"/>
              <w:rPr>
                <w:sz w:val="20"/>
                <w:szCs w:val="20"/>
                <w:color w:val="auto"/>
              </w:rPr>
            </w:pPr>
            <w:r>
              <w:rPr>
                <w:rFonts w:ascii="Arial" w:cs="Arial" w:eastAsia="Arial" w:hAnsi="Arial"/>
                <w:sz w:val="18"/>
                <w:szCs w:val="18"/>
                <w:color w:val="auto"/>
              </w:rPr>
              <w:t>November 4, 2022</w:t>
            </w:r>
          </w:p>
        </w:tc>
        <w:tc>
          <w:tcPr>
            <w:tcW w:w="0" w:type="dxa"/>
            <w:vAlign w:val="bottom"/>
          </w:tcPr>
          <w:p>
            <w:pPr>
              <w:spacing w:after="0"/>
              <w:rPr>
                <w:sz w:val="1"/>
                <w:szCs w:val="1"/>
                <w:color w:val="auto"/>
              </w:rPr>
            </w:pPr>
          </w:p>
        </w:tc>
      </w:tr>
      <w:tr>
        <w:trPr>
          <w:trHeight w:val="224"/>
        </w:trPr>
        <w:tc>
          <w:tcPr>
            <w:tcW w:w="3620" w:type="dxa"/>
            <w:vAlign w:val="bottom"/>
          </w:tcPr>
          <w:p>
            <w:pPr>
              <w:ind w:left="100"/>
              <w:spacing w:after="0"/>
              <w:rPr>
                <w:sz w:val="20"/>
                <w:szCs w:val="20"/>
                <w:color w:val="auto"/>
              </w:rPr>
            </w:pPr>
            <w:r>
              <w:rPr>
                <w:rFonts w:ascii="Arial" w:cs="Arial" w:eastAsia="Arial" w:hAnsi="Arial"/>
                <w:sz w:val="18"/>
                <w:szCs w:val="18"/>
                <w:color w:val="auto"/>
              </w:rPr>
              <w:t>Jonah Staw</w:t>
            </w:r>
          </w:p>
        </w:tc>
        <w:tc>
          <w:tcPr>
            <w:tcW w:w="220" w:type="dxa"/>
            <w:vAlign w:val="bottom"/>
          </w:tcPr>
          <w:p>
            <w:pPr>
              <w:spacing w:after="0"/>
              <w:rPr>
                <w:sz w:val="19"/>
                <w:szCs w:val="19"/>
                <w:color w:val="auto"/>
              </w:rPr>
            </w:pPr>
          </w:p>
        </w:tc>
        <w:tc>
          <w:tcPr>
            <w:tcW w:w="3800" w:type="dxa"/>
            <w:vAlign w:val="bottom"/>
            <w:gridSpan w:val="2"/>
            <w:vMerge w:val="continue"/>
          </w:tcPr>
          <w:p>
            <w:pPr>
              <w:spacing w:after="0"/>
              <w:rPr>
                <w:sz w:val="19"/>
                <w:szCs w:val="19"/>
                <w:color w:val="auto"/>
              </w:rPr>
            </w:pPr>
          </w:p>
        </w:tc>
        <w:tc>
          <w:tcPr>
            <w:tcW w:w="3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5.1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November 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Lands' End,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Lands' End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Dodgeville, Wisconsin 53595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Our firm has acted as counsel for Lands’ End, Inc., a Delaware corporation (the “Company”), in connection with the Company’s registration statement on Form S-8 (the “Registration Statement”) to be filed by the Company with the Securities and Exchange Commission (the “Commission”) on or about November 4, 2022 in connection with the registration under the Securities Act of 1933, as amended (the “Securities Act”), of an aggregate of 283,714 shares (the “Shares”) of the Company’s common stock, $0.01 par value per share, subject to issuance by the Company (1) upon the exercise of a sign-on stock option to purchase up to 168,081 Shares granted pursuant to the Sign-On Nonqualified Stock Option Agreement dated November 1, 2022, by and between the Company and Andrew McLean (the “Option Agreement”), and (2) upon the settlement of sign-on restricted stock units for 115,633 Shares to be granted pursuant to the Sign-On Restricted Stock Unit Agreement dated November 1, 2022, by and between the Company and Andrew McLean (together with the Option Agreement, the “Award Agreements”). Each Award Agreement is intended to induce Mr. McLean with an incentive to become and remain an employee of the Company and increase his interest in the success of the Company.</w:t>
      </w:r>
    </w:p>
    <w:p>
      <w:pPr>
        <w:spacing w:after="0" w:line="16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such capacity, we have examined originals, or copies certified or otherwise identified to our satisfaction, of such records of the Company and of public officials and such other documents as we have deemed relevant and necessary as the basis for the opinion set forth below, including the Company’s Amended and Restated Certificate of Incorporation, the Company’s Amended and Restated Bylaws, minutes and records of the corporate proceedings of the Company, the forms of Award Agreement, and the Registration Statement and the exhibits thereto. In our examination, we have assumed the genuineness of all signatures, the legal capacity and competency of all natural persons, the authenticity of all documents submitted to us as originals and the conformity to originals of all documents submitted to us as copies.</w:t>
      </w:r>
    </w:p>
    <w:p>
      <w:pPr>
        <w:spacing w:after="0" w:line="19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Based upon and subject to the foregoing qualifications, assumptions and limitations and the further limitations set forth below, we are of the opinion that the Shares have been duly authorized for issuance and when duly issued, sold and delivered in accordance with the terms of the applicable Award Agreement and in the manner and for the consideration stated in the applicable Award Agreement, will be validly issued, fully paid and non-assessable. The opinions expressed above are subject to the qualification that we express no opinion as to the applicability of, compliance with, or effect of any laws except the General Corporation Law of the State of Delaware. This opinion is limited to the specific issues addressed herein, and no opinion may be inferred or implied beyond that expressly stated herein.</w:t>
      </w:r>
    </w:p>
    <w:p>
      <w:pPr>
        <w:spacing w:after="0" w:line="192"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We hereby consent to the filing of this opinion as an exhibit to the Registration Statement, and we further consent to the use of our name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spacing w:after="0" w:line="311" w:lineRule="auto"/>
        <w:rPr>
          <w:sz w:val="20"/>
          <w:szCs w:val="20"/>
          <w:color w:val="auto"/>
        </w:rPr>
      </w:pPr>
      <w:r>
        <w:rPr>
          <w:rFonts w:ascii="Arial" w:cs="Arial" w:eastAsia="Arial" w:hAnsi="Arial"/>
          <w:sz w:val="16"/>
          <w:szCs w:val="16"/>
          <w:color w:val="auto"/>
        </w:rPr>
        <w:t>We assume no obligation to revise or supplement this opinion after the date of effectiveness should the General Corporation Law of the State of Delaware be changed by legislative action, judicial decision or otherwise after the date hereof. This opinion is furnished to you in connection with the filing of the Registration Statement in accordance with the requirements of Item 601(b)(5) of Regulation S-K under the Securities Act and Item 8 of Part II of Form S-8.</w:t>
      </w:r>
    </w:p>
    <w:p>
      <w:pPr>
        <w:spacing w:after="0" w:line="1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Nutter, McClennen &amp; Fish,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utter</w:t>
      </w:r>
      <w:r>
        <w:rPr>
          <w:rFonts w:ascii="Arial" w:cs="Arial" w:eastAsia="Arial" w:hAnsi="Arial"/>
          <w:sz w:val="18"/>
          <w:szCs w:val="18"/>
          <w:color w:val="auto"/>
        </w:rPr>
        <w:t>, M</w:t>
      </w:r>
      <w:r>
        <w:rPr>
          <w:rFonts w:ascii="Arial" w:cs="Arial" w:eastAsia="Arial" w:hAnsi="Arial"/>
          <w:sz w:val="12"/>
          <w:szCs w:val="12"/>
          <w:color w:val="auto"/>
        </w:rPr>
        <w:t>c</w:t>
      </w:r>
      <w:r>
        <w:rPr>
          <w:rFonts w:ascii="Arial" w:cs="Arial" w:eastAsia="Arial" w:hAnsi="Arial"/>
          <w:sz w:val="18"/>
          <w:szCs w:val="18"/>
          <w:color w:val="auto"/>
        </w:rPr>
        <w:t>C</w:t>
      </w:r>
      <w:r>
        <w:rPr>
          <w:rFonts w:ascii="Arial" w:cs="Arial" w:eastAsia="Arial" w:hAnsi="Arial"/>
          <w:sz w:val="12"/>
          <w:szCs w:val="12"/>
          <w:color w:val="auto"/>
        </w:rPr>
        <w:t>lennen</w:t>
      </w:r>
      <w:r>
        <w:rPr>
          <w:rFonts w:ascii="Arial" w:cs="Arial" w:eastAsia="Arial" w:hAnsi="Arial"/>
          <w:sz w:val="18"/>
          <w:szCs w:val="18"/>
          <w:color w:val="auto"/>
        </w:rPr>
        <w:t xml:space="preserve"> &amp; F</w:t>
      </w:r>
      <w:r>
        <w:rPr>
          <w:rFonts w:ascii="Arial" w:cs="Arial" w:eastAsia="Arial" w:hAnsi="Arial"/>
          <w:sz w:val="12"/>
          <w:szCs w:val="12"/>
          <w:color w:val="auto"/>
        </w:rPr>
        <w:t>ish</w:t>
      </w:r>
      <w:r>
        <w:rPr>
          <w:rFonts w:ascii="Arial" w:cs="Arial" w:eastAsia="Arial" w:hAnsi="Arial"/>
          <w:sz w:val="18"/>
          <w:szCs w:val="18"/>
          <w:color w:val="auto"/>
        </w:rPr>
        <w: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MKK/TBR/KRH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March 24, 2022, relating to the financial statements of Lands’ End, Inc. and the effectiveness of Lands’ End, Inc.’s internal control over financial reporting, appearing in the Annual Report on Form 10-K of Lands’ End, Inc. for the year ended January 28,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99.2</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4"/>
          </w:tcPr>
          <w:p>
            <w:pPr>
              <w:jc w:val="center"/>
              <w:ind w:right="770"/>
              <w:spacing w:after="0"/>
              <w:rPr>
                <w:sz w:val="20"/>
                <w:szCs w:val="20"/>
                <w:color w:val="auto"/>
              </w:rPr>
            </w:pPr>
            <w:r>
              <w:rPr>
                <w:rFonts w:ascii="Arial" w:cs="Arial" w:eastAsia="Arial" w:hAnsi="Arial"/>
                <w:sz w:val="18"/>
                <w:szCs w:val="18"/>
                <w:b w:val="1"/>
                <w:bCs w:val="1"/>
                <w:color w:val="auto"/>
                <w:w w:val="99"/>
              </w:rPr>
              <w:t>LANDS’ END, INC.</w:t>
            </w:r>
          </w:p>
        </w:tc>
      </w:tr>
      <w:tr>
        <w:trPr>
          <w:trHeight w:val="216"/>
        </w:trPr>
        <w:tc>
          <w:tcPr>
            <w:tcW w:w="3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ind w:right="1350"/>
              <w:spacing w:after="0"/>
              <w:rPr>
                <w:sz w:val="20"/>
                <w:szCs w:val="20"/>
                <w:color w:val="auto"/>
              </w:rPr>
            </w:pPr>
            <w:r>
              <w:rPr>
                <w:rFonts w:ascii="Arial" w:cs="Arial" w:eastAsia="Arial" w:hAnsi="Arial"/>
                <w:sz w:val="18"/>
                <w:szCs w:val="18"/>
                <w:b w:val="1"/>
                <w:bCs w:val="1"/>
                <w:color w:val="auto"/>
              </w:rPr>
              <w:t>SIGN-ON</w:t>
            </w:r>
          </w:p>
        </w:tc>
      </w:tr>
      <w:tr>
        <w:trPr>
          <w:trHeight w:val="234"/>
        </w:trPr>
        <w:tc>
          <w:tcPr>
            <w:tcW w:w="3380" w:type="dxa"/>
            <w:vAlign w:val="bottom"/>
          </w:tcPr>
          <w:p>
            <w:pPr>
              <w:spacing w:after="0"/>
              <w:rPr>
                <w:sz w:val="20"/>
                <w:szCs w:val="20"/>
                <w:color w:val="auto"/>
              </w:rPr>
            </w:pPr>
          </w:p>
        </w:tc>
        <w:tc>
          <w:tcPr>
            <w:tcW w:w="4240" w:type="dxa"/>
            <w:vAlign w:val="bottom"/>
            <w:gridSpan w:val="7"/>
          </w:tcPr>
          <w:p>
            <w:pPr>
              <w:jc w:val="center"/>
              <w:ind w:left="90"/>
              <w:spacing w:after="0"/>
              <w:rPr>
                <w:sz w:val="20"/>
                <w:szCs w:val="20"/>
                <w:color w:val="auto"/>
              </w:rPr>
            </w:pPr>
            <w:r>
              <w:rPr>
                <w:rFonts w:ascii="Arial" w:cs="Arial" w:eastAsia="Arial" w:hAnsi="Arial"/>
                <w:sz w:val="18"/>
                <w:szCs w:val="18"/>
                <w:b w:val="1"/>
                <w:bCs w:val="1"/>
                <w:color w:val="auto"/>
              </w:rPr>
              <w:t>NONQUALIFIED STOCK OPTION AGREEMENT</w:t>
            </w:r>
          </w:p>
        </w:tc>
      </w:tr>
      <w:tr>
        <w:trPr>
          <w:trHeight w:val="391"/>
        </w:trPr>
        <w:tc>
          <w:tcPr>
            <w:tcW w:w="3380" w:type="dxa"/>
            <w:vAlign w:val="bottom"/>
          </w:tcPr>
          <w:p>
            <w:pPr>
              <w:spacing w:after="0"/>
              <w:rPr>
                <w:sz w:val="20"/>
                <w:szCs w:val="20"/>
                <w:color w:val="auto"/>
              </w:rPr>
            </w:pPr>
            <w:r>
              <w:rPr>
                <w:rFonts w:ascii="Arial" w:cs="Arial" w:eastAsia="Arial" w:hAnsi="Arial"/>
                <w:sz w:val="18"/>
                <w:szCs w:val="18"/>
                <w:b w:val="1"/>
                <w:bCs w:val="1"/>
                <w:color w:val="auto"/>
              </w:rPr>
              <w:t>Name of Grantee:</w:t>
            </w:r>
          </w:p>
        </w:tc>
        <w:tc>
          <w:tcPr>
            <w:tcW w:w="15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3"/>
              </w:rPr>
              <w:t>Andrew J. McLean</w:t>
            </w:r>
          </w:p>
        </w:tc>
        <w:tc>
          <w:tcPr>
            <w:tcW w:w="120" w:type="dxa"/>
            <w:vAlign w:val="bottom"/>
            <w:tcBorders>
              <w:bottom w:val="single" w:sz="8" w:color="auto"/>
            </w:tcBorders>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(the “Grantee”)</w:t>
            </w:r>
          </w:p>
        </w:tc>
      </w:tr>
      <w:tr>
        <w:trPr>
          <w:trHeight w:val="502"/>
        </w:trPr>
        <w:tc>
          <w:tcPr>
            <w:tcW w:w="3380" w:type="dxa"/>
            <w:vAlign w:val="bottom"/>
          </w:tcPr>
          <w:p>
            <w:pPr>
              <w:spacing w:after="0"/>
              <w:rPr>
                <w:sz w:val="20"/>
                <w:szCs w:val="20"/>
                <w:color w:val="auto"/>
              </w:rPr>
            </w:pPr>
            <w:r>
              <w:rPr>
                <w:rFonts w:ascii="Arial" w:cs="Arial" w:eastAsia="Arial" w:hAnsi="Arial"/>
                <w:sz w:val="18"/>
                <w:szCs w:val="18"/>
                <w:b w:val="1"/>
                <w:bCs w:val="1"/>
                <w:color w:val="auto"/>
              </w:rPr>
              <w:t>No. of Nonqualified</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94"/>
        </w:trPr>
        <w:tc>
          <w:tcPr>
            <w:tcW w:w="3380" w:type="dxa"/>
            <w:vAlign w:val="bottom"/>
          </w:tcPr>
          <w:p>
            <w:pPr>
              <w:spacing w:after="0" w:line="194" w:lineRule="exact"/>
              <w:rPr>
                <w:sz w:val="20"/>
                <w:szCs w:val="20"/>
                <w:color w:val="auto"/>
              </w:rPr>
            </w:pPr>
            <w:r>
              <w:rPr>
                <w:rFonts w:ascii="Arial" w:cs="Arial" w:eastAsia="Arial" w:hAnsi="Arial"/>
                <w:sz w:val="18"/>
                <w:szCs w:val="18"/>
                <w:b w:val="1"/>
                <w:bCs w:val="1"/>
                <w:color w:val="auto"/>
              </w:rPr>
              <w:t>Stock Options:</w:t>
            </w:r>
          </w:p>
        </w:tc>
        <w:tc>
          <w:tcPr>
            <w:tcW w:w="800" w:type="dxa"/>
            <w:vAlign w:val="bottom"/>
          </w:tcPr>
          <w:p>
            <w:pPr>
              <w:spacing w:after="0" w:line="194" w:lineRule="exact"/>
              <w:rPr>
                <w:sz w:val="20"/>
                <w:szCs w:val="20"/>
                <w:color w:val="auto"/>
              </w:rPr>
            </w:pPr>
            <w:r>
              <w:rPr>
                <w:rFonts w:ascii="Arial" w:cs="Arial" w:eastAsia="Arial" w:hAnsi="Arial"/>
                <w:sz w:val="18"/>
                <w:szCs w:val="18"/>
                <w:b w:val="1"/>
                <w:bCs w:val="1"/>
                <w:color w:val="auto"/>
              </w:rPr>
              <w:t>168,081</w:t>
            </w:r>
          </w:p>
        </w:tc>
        <w:tc>
          <w:tcPr>
            <w:tcW w:w="700" w:type="dxa"/>
            <w:vAlign w:val="bottom"/>
            <w:gridSpan w:val="4"/>
          </w:tcPr>
          <w:p>
            <w:pPr>
              <w:ind w:left="200"/>
              <w:spacing w:after="0" w:line="194" w:lineRule="exact"/>
              <w:rPr>
                <w:sz w:val="20"/>
                <w:szCs w:val="20"/>
                <w:color w:val="auto"/>
              </w:rPr>
            </w:pPr>
            <w:r>
              <w:rPr>
                <w:rFonts w:ascii="Arial" w:cs="Arial" w:eastAsia="Arial" w:hAnsi="Arial"/>
                <w:sz w:val="18"/>
                <w:szCs w:val="18"/>
                <w:b w:val="1"/>
                <w:bCs w:val="1"/>
                <w:color w:val="auto"/>
              </w:rPr>
              <w:t> </w:t>
            </w:r>
          </w:p>
        </w:tc>
        <w:tc>
          <w:tcPr>
            <w:tcW w:w="12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502"/>
        </w:trPr>
        <w:tc>
          <w:tcPr>
            <w:tcW w:w="3380" w:type="dxa"/>
            <w:vAlign w:val="bottom"/>
          </w:tcPr>
          <w:p>
            <w:pPr>
              <w:spacing w:after="0"/>
              <w:rPr>
                <w:sz w:val="20"/>
                <w:szCs w:val="20"/>
                <w:color w:val="auto"/>
              </w:rPr>
            </w:pPr>
            <w:r>
              <w:rPr>
                <w:rFonts w:ascii="Arial" w:cs="Arial" w:eastAsia="Arial" w:hAnsi="Arial"/>
                <w:sz w:val="18"/>
                <w:szCs w:val="18"/>
                <w:b w:val="1"/>
                <w:bCs w:val="1"/>
                <w:color w:val="auto"/>
              </w:rPr>
              <w:t>Per Share Exercise Price of</w:t>
            </w: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94"/>
        </w:trPr>
        <w:tc>
          <w:tcPr>
            <w:tcW w:w="3380" w:type="dxa"/>
            <w:vAlign w:val="bottom"/>
          </w:tcPr>
          <w:p>
            <w:pPr>
              <w:spacing w:after="0" w:line="194" w:lineRule="exact"/>
              <w:rPr>
                <w:sz w:val="20"/>
                <w:szCs w:val="20"/>
                <w:color w:val="auto"/>
              </w:rPr>
            </w:pPr>
            <w:r>
              <w:rPr>
                <w:rFonts w:ascii="Arial" w:cs="Arial" w:eastAsia="Arial" w:hAnsi="Arial"/>
                <w:sz w:val="18"/>
                <w:szCs w:val="18"/>
                <w:b w:val="1"/>
                <w:bCs w:val="1"/>
                <w:color w:val="auto"/>
              </w:rPr>
              <w:t>Nonqualified Stock Options:</w:t>
            </w:r>
          </w:p>
        </w:tc>
        <w:tc>
          <w:tcPr>
            <w:tcW w:w="8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$10.81</w:t>
            </w:r>
          </w:p>
        </w:tc>
        <w:tc>
          <w:tcPr>
            <w:tcW w:w="2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453"/>
        </w:trPr>
        <w:tc>
          <w:tcPr>
            <w:tcW w:w="338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5"/>
              </w:rPr>
              <w:t>November 1, 2022</w:t>
            </w:r>
          </w:p>
        </w:tc>
        <w:tc>
          <w:tcPr>
            <w:tcW w:w="20" w:type="dxa"/>
            <w:vAlign w:val="bottom"/>
          </w:tcPr>
          <w:p>
            <w:pPr>
              <w:spacing w:after="0"/>
              <w:rPr>
                <w:sz w:val="24"/>
                <w:szCs w:val="24"/>
                <w:color w:val="auto"/>
              </w:rPr>
            </w:pPr>
          </w:p>
        </w:tc>
        <w:tc>
          <w:tcPr>
            <w:tcW w:w="2740" w:type="dxa"/>
            <w:vAlign w:val="bottom"/>
            <w:gridSpan w:val="2"/>
          </w:tcPr>
          <w:p>
            <w:pPr>
              <w:jc w:val="center"/>
              <w:ind w:right="1270"/>
              <w:spacing w:after="0"/>
              <w:rPr>
                <w:sz w:val="20"/>
                <w:szCs w:val="20"/>
                <w:color w:val="auto"/>
              </w:rPr>
            </w:pPr>
            <w:r>
              <w:rPr>
                <w:rFonts w:ascii="Arial" w:cs="Arial" w:eastAsia="Arial" w:hAnsi="Arial"/>
                <w:sz w:val="18"/>
                <w:szCs w:val="18"/>
                <w:color w:val="auto"/>
                <w:w w:val="94"/>
              </w:rPr>
              <w:t>(the “Grant Date”)</w:t>
            </w: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Grantee is currently an employee of Lands’ End,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WHEREAS, the Company desires to (i) induce the Grantee with an incentive to become and remain an employee of the Company and (ii) increase the Grantee’s interest in the success of the Company by granting nonqualified stock options (the “</w:t>
      </w:r>
      <w:r>
        <w:rPr>
          <w:rFonts w:ascii="Arial" w:cs="Arial" w:eastAsia="Arial" w:hAnsi="Arial"/>
          <w:sz w:val="18"/>
          <w:szCs w:val="18"/>
          <w:u w:val="single" w:color="auto"/>
          <w:color w:val="auto"/>
        </w:rPr>
        <w:t>Options</w:t>
      </w:r>
      <w:r>
        <w:rPr>
          <w:rFonts w:ascii="Arial" w:cs="Arial" w:eastAsia="Arial" w:hAnsi="Arial"/>
          <w:sz w:val="18"/>
          <w:szCs w:val="18"/>
          <w:color w:val="auto"/>
        </w:rPr>
        <w:t>”) covering shares of common stock of the Company to the Grantee; and</w:t>
      </w:r>
    </w:p>
    <w:p>
      <w:pPr>
        <w:spacing w:after="0" w:line="184"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WHEREAS, the Company desires to grant the Options, which grant is intended to constitute an employment inducement grant as described in Rule 5635(c)(4) of the NASDAQ Stock Market Listing Rules, pursuant to the terms of this Lands’ End, Inc. Sign-On Nonqualified Stock Option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4" w:lineRule="exact"/>
        <w:rPr>
          <w:sz w:val="20"/>
          <w:szCs w:val="20"/>
          <w:color w:val="auto"/>
        </w:rPr>
      </w:pPr>
    </w:p>
    <w:p>
      <w:pPr>
        <w:ind w:right="900" w:firstLine="648"/>
        <w:spacing w:after="0" w:line="308" w:lineRule="auto"/>
        <w:rPr>
          <w:sz w:val="20"/>
          <w:szCs w:val="20"/>
          <w:color w:val="auto"/>
        </w:rPr>
      </w:pPr>
      <w:r>
        <w:rPr>
          <w:rFonts w:ascii="Arial" w:cs="Arial" w:eastAsia="Arial" w:hAnsi="Arial"/>
          <w:sz w:val="17"/>
          <w:szCs w:val="17"/>
          <w:color w:val="auto"/>
        </w:rPr>
        <w:t>NOW, THEREFORE, in consideration of the mutual promises, covenants and agreements set forth herein and other good and valuable consideration, the receipt and sufficiency of which are hereby acknowledged, the parties hereto do hereby agree as follows:</w:t>
      </w:r>
    </w:p>
    <w:p>
      <w:pPr>
        <w:spacing w:after="0" w:line="146" w:lineRule="exact"/>
        <w:rPr>
          <w:sz w:val="20"/>
          <w:szCs w:val="20"/>
          <w:color w:val="auto"/>
        </w:rPr>
      </w:pPr>
    </w:p>
    <w:p>
      <w:pPr>
        <w:ind w:right="20" w:firstLine="656"/>
        <w:spacing w:after="0" w:line="259" w:lineRule="auto"/>
        <w:tabs>
          <w:tab w:leader="none" w:pos="132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Definitions; Incorporation of Plan Terms</w:t>
      </w:r>
      <w:r>
        <w:rPr>
          <w:rFonts w:ascii="Arial" w:cs="Arial" w:eastAsia="Arial" w:hAnsi="Arial"/>
          <w:sz w:val="18"/>
          <w:szCs w:val="18"/>
          <w:color w:val="auto"/>
        </w:rPr>
        <w:t>. The Options, although not granted pursuant to the Lands’ End, Inc. Amended and Restated 2017 Stock Plan (the “Plan”) shall, except as expressly set forth in this Agreement, be subject to the terms and provisions of the Plan, which is incorporated herein by reference. The Grantee hereby acknowledges receipt of a copy of the Plan. All capitalized terms used but not defined herein have the definitions set forth in the Plan. The Company represents that the Options will be covered by an S-8.</w:t>
      </w:r>
    </w:p>
    <w:p>
      <w:pPr>
        <w:spacing w:after="0" w:line="186" w:lineRule="exact"/>
        <w:rPr>
          <w:rFonts w:ascii="Arial" w:cs="Arial" w:eastAsia="Arial" w:hAnsi="Arial"/>
          <w:sz w:val="18"/>
          <w:szCs w:val="18"/>
          <w:color w:val="auto"/>
        </w:rPr>
      </w:pPr>
    </w:p>
    <w:p>
      <w:pPr>
        <w:ind w:right="20" w:firstLine="656"/>
        <w:spacing w:after="0" w:line="259" w:lineRule="auto"/>
        <w:tabs>
          <w:tab w:leader="none" w:pos="132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the provisions of this Agreement and the Plan, the Company hereby grants to the Grantee the Options specified above. Each Option represents the right to purchase one (1) share of the Company’s common stock, par value $0.01 per share (each, a “</w:t>
      </w:r>
      <w:r>
        <w:rPr>
          <w:rFonts w:ascii="Arial" w:cs="Arial" w:eastAsia="Arial" w:hAnsi="Arial"/>
          <w:sz w:val="18"/>
          <w:szCs w:val="18"/>
          <w:u w:val="single" w:color="auto"/>
          <w:color w:val="auto"/>
        </w:rPr>
        <w:t>Share</w:t>
      </w:r>
      <w:r>
        <w:rPr>
          <w:rFonts w:ascii="Arial" w:cs="Arial" w:eastAsia="Arial" w:hAnsi="Arial"/>
          <w:sz w:val="18"/>
          <w:szCs w:val="18"/>
          <w:color w:val="auto"/>
        </w:rPr>
        <w:t>”), at the Exercise Price (defined below). The Options are intended to be nonqualified stock options and will not be treated as incentive stock options under Section 422 of the Internal Revenue Code of 1986, as amended.</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2040" w:hanging="736"/>
        <w:spacing w:after="0"/>
        <w:tabs>
          <w:tab w:leader="none" w:pos="204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The exercise price per Share with respect to the Options shall be </w:t>
      </w:r>
      <w:r>
        <w:rPr>
          <w:rFonts w:ascii="Arial" w:cs="Arial" w:eastAsia="Arial" w:hAnsi="Arial"/>
          <w:sz w:val="16"/>
          <w:szCs w:val="16"/>
          <w:b w:val="1"/>
          <w:bCs w:val="1"/>
          <w:color w:val="auto"/>
        </w:rPr>
        <w:t>$10.81</w:t>
      </w:r>
      <w:r>
        <w:rPr>
          <w:rFonts w:ascii="Arial" w:cs="Arial" w:eastAsia="Arial" w:hAnsi="Arial"/>
          <w:sz w:val="16"/>
          <w:szCs w:val="16"/>
          <w:color w:val="auto"/>
        </w:rPr>
        <w:t>, which is the Fair Market Value of a</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 on the Grant Date.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 w:name="page13"/>
    <w:bookmarkEnd w:id="12"/>
    <w:p>
      <w:pPr>
        <w:ind w:right="180" w:firstLine="1304"/>
        <w:spacing w:after="0" w:line="214" w:lineRule="auto"/>
        <w:tabs>
          <w:tab w:leader="none" w:pos="204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Subject to earlier termination as provided herein, the Options shall expire on the tenth (10</w:t>
      </w:r>
      <w:r>
        <w:rPr>
          <w:rFonts w:ascii="Arial" w:cs="Arial" w:eastAsia="Arial" w:hAnsi="Arial"/>
          <w:sz w:val="29"/>
          <w:szCs w:val="29"/>
          <w:color w:val="auto"/>
          <w:vertAlign w:val="superscript"/>
        </w:rPr>
        <w:t>th</w:t>
      </w:r>
      <w:r>
        <w:rPr>
          <w:rFonts w:ascii="Arial" w:cs="Arial" w:eastAsia="Arial" w:hAnsi="Arial"/>
          <w:sz w:val="18"/>
          <w:szCs w:val="18"/>
          <w:color w:val="auto"/>
        </w:rPr>
        <w:t>) anniversary of the Grant Date (the “</w:t>
      </w:r>
      <w:r>
        <w:rPr>
          <w:rFonts w:ascii="Arial" w:cs="Arial" w:eastAsia="Arial" w:hAnsi="Arial"/>
          <w:sz w:val="18"/>
          <w:szCs w:val="18"/>
          <w:u w:val="single" w:color="auto"/>
          <w:color w:val="auto"/>
        </w:rPr>
        <w:t>Expiration Date</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1960" w:hanging="656"/>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of the Options shall initially be unvested. All of the Options shall be subject to the following vesting schedule, and, except as otherwise provided in this Section 2(c), if the Grantee terminates employment for any reason prior to any given Vesting Date identified below, the Grantee shall forfeit any unvested Options upon such termination of employment.</w:t>
      </w:r>
    </w:p>
    <w:p>
      <w:pPr>
        <w:spacing w:after="0" w:line="180" w:lineRule="exact"/>
        <w:rPr>
          <w:sz w:val="20"/>
          <w:szCs w:val="20"/>
          <w:color w:val="auto"/>
        </w:rPr>
      </w:pPr>
    </w:p>
    <w:tbl>
      <w:tblPr>
        <w:tblLayout w:type="fixed"/>
        <w:tblInd w:w="394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2120" w:type="dxa"/>
            <w:vAlign w:val="bottom"/>
          </w:tcPr>
          <w:p>
            <w:pPr>
              <w:spacing w:after="0"/>
              <w:rPr>
                <w:sz w:val="20"/>
                <w:szCs w:val="20"/>
                <w:color w:val="auto"/>
              </w:rPr>
            </w:pPr>
            <w:r>
              <w:rPr>
                <w:rFonts w:ascii="Arial" w:cs="Arial" w:eastAsia="Arial" w:hAnsi="Arial"/>
                <w:sz w:val="18"/>
                <w:szCs w:val="18"/>
                <w:b w:val="1"/>
                <w:bCs w:val="1"/>
                <w:color w:val="auto"/>
              </w:rPr>
              <w:t>Vesting Date</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Option Vested</w:t>
            </w:r>
          </w:p>
        </w:tc>
      </w:tr>
      <w:tr>
        <w:trPr>
          <w:trHeight w:val="20"/>
        </w:trPr>
        <w:tc>
          <w:tcPr>
            <w:tcW w:w="2120" w:type="dxa"/>
            <w:vAlign w:val="bottom"/>
            <w:tcBorders>
              <w:right w:val="single" w:sz="8" w:color="CCEEFF"/>
            </w:tcBorders>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9"/>
        </w:trPr>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1, 2023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November 1, 2024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1, 2025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bl>
    <w:p>
      <w:pPr>
        <w:spacing w:after="0" w:line="202" w:lineRule="exact"/>
        <w:rPr>
          <w:sz w:val="20"/>
          <w:szCs w:val="20"/>
          <w:color w:val="auto"/>
        </w:rPr>
      </w:pPr>
    </w:p>
    <w:p>
      <w:pPr>
        <w:ind w:firstLine="1952"/>
        <w:spacing w:after="0" w:line="286" w:lineRule="auto"/>
        <w:tabs>
          <w:tab w:leader="none" w:pos="2704" w:val="left"/>
        </w:tabs>
        <w:numPr>
          <w:ilvl w:val="1"/>
          <w:numId w:val="8"/>
        </w:numPr>
        <w:rPr>
          <w:rFonts w:ascii="Arial" w:cs="Arial" w:eastAsia="Arial" w:hAnsi="Arial"/>
          <w:sz w:val="17"/>
          <w:szCs w:val="17"/>
          <w:color w:val="auto"/>
        </w:rPr>
      </w:pPr>
      <w:r>
        <w:rPr>
          <w:rFonts w:ascii="Arial" w:cs="Arial" w:eastAsia="Arial" w:hAnsi="Arial"/>
          <w:sz w:val="17"/>
          <w:szCs w:val="17"/>
          <w:color w:val="auto"/>
        </w:rPr>
        <w:t>If the Grantee’s employment is terminated by the Company for Cause (as defined in the Executive Severance Agreement by and between the Executive and the Company, dated September 6, 2022 (the “Severance Agreement”) or a resignation by the Grantee without Good Reason (as defined in the Severance Agreement), all of the unvested Options will be forfeited upon such separation from service.</w:t>
      </w:r>
    </w:p>
    <w:p>
      <w:pPr>
        <w:spacing w:after="0" w:line="165" w:lineRule="exact"/>
        <w:rPr>
          <w:rFonts w:ascii="Arial" w:cs="Arial" w:eastAsia="Arial" w:hAnsi="Arial"/>
          <w:sz w:val="17"/>
          <w:szCs w:val="17"/>
          <w:color w:val="auto"/>
        </w:rPr>
      </w:pPr>
    </w:p>
    <w:p>
      <w:pPr>
        <w:ind w:right="60" w:firstLine="1952"/>
        <w:spacing w:after="0" w:line="263" w:lineRule="auto"/>
        <w:tabs>
          <w:tab w:leader="none" w:pos="2754"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the Grantee’s employment is terminated by the Company without Cause or by the Grantee with Good Reason, any of the Options not previously vested that would have become vested within the 12 months following the date of such separation from service will become immediately vested upon such separation from service.</w:t>
      </w:r>
    </w:p>
    <w:p>
      <w:pPr>
        <w:spacing w:after="0" w:line="183" w:lineRule="exact"/>
        <w:rPr>
          <w:rFonts w:ascii="Arial" w:cs="Arial" w:eastAsia="Arial" w:hAnsi="Arial"/>
          <w:sz w:val="18"/>
          <w:szCs w:val="18"/>
          <w:color w:val="auto"/>
        </w:rPr>
      </w:pPr>
    </w:p>
    <w:p>
      <w:pPr>
        <w:ind w:right="20" w:firstLine="1952"/>
        <w:spacing w:after="0" w:line="277" w:lineRule="auto"/>
        <w:tabs>
          <w:tab w:leader="none" w:pos="2744"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the Grantee’s employment is terminated due to death or Disability (as defined in the Severance Agreement), any of the Options not previously vested will become immediately vested upon such separation from service.</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952"/>
        <w:spacing w:after="0" w:line="277" w:lineRule="auto"/>
        <w:tabs>
          <w:tab w:leader="none" w:pos="265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Options (to the extent not otherwise forfeited) shall automatically terminate and shall become null and void, be unexercisable and be of no further force and effect upon the earliest of:</w:t>
      </w:r>
    </w:p>
    <w:p>
      <w:pPr>
        <w:spacing w:after="0" w:line="170" w:lineRule="exact"/>
        <w:rPr>
          <w:rFonts w:ascii="Arial" w:cs="Arial" w:eastAsia="Arial" w:hAnsi="Arial"/>
          <w:sz w:val="18"/>
          <w:szCs w:val="18"/>
          <w:color w:val="auto"/>
        </w:rPr>
      </w:pPr>
    </w:p>
    <w:p>
      <w:pPr>
        <w:ind w:left="3380" w:hanging="780"/>
        <w:spacing w:after="0"/>
        <w:tabs>
          <w:tab w:leader="none" w:pos="3380"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Expiration Date;</w:t>
      </w:r>
    </w:p>
    <w:p>
      <w:pPr>
        <w:spacing w:after="0" w:line="225" w:lineRule="exact"/>
        <w:rPr>
          <w:rFonts w:ascii="Arial" w:cs="Arial" w:eastAsia="Arial" w:hAnsi="Arial"/>
          <w:sz w:val="18"/>
          <w:szCs w:val="18"/>
          <w:color w:val="auto"/>
        </w:rPr>
      </w:pPr>
    </w:p>
    <w:p>
      <w:pPr>
        <w:ind w:left="3380" w:hanging="780"/>
        <w:spacing w:after="0"/>
        <w:tabs>
          <w:tab w:leader="none" w:pos="3380" w:val="left"/>
        </w:tabs>
        <w:numPr>
          <w:ilvl w:val="2"/>
          <w:numId w:val="9"/>
        </w:numPr>
        <w:rPr>
          <w:rFonts w:ascii="Arial" w:cs="Arial" w:eastAsia="Arial" w:hAnsi="Arial"/>
          <w:sz w:val="17"/>
          <w:szCs w:val="17"/>
          <w:color w:val="auto"/>
        </w:rPr>
      </w:pPr>
      <w:r>
        <w:rPr>
          <w:rFonts w:ascii="Arial" w:cs="Arial" w:eastAsia="Arial" w:hAnsi="Arial"/>
          <w:sz w:val="17"/>
          <w:szCs w:val="17"/>
          <w:color w:val="auto"/>
        </w:rPr>
        <w:t>The first anniversary of the date of the Grantee’s termination of employment due to death or Disability;</w:t>
      </w:r>
    </w:p>
    <w:p>
      <w:pPr>
        <w:spacing w:after="0" w:line="187" w:lineRule="exact"/>
        <w:rPr>
          <w:rFonts w:ascii="Arial" w:cs="Arial" w:eastAsia="Arial" w:hAnsi="Arial"/>
          <w:sz w:val="17"/>
          <w:szCs w:val="17"/>
          <w:color w:val="auto"/>
        </w:rPr>
      </w:pPr>
    </w:p>
    <w:p>
      <w:pPr>
        <w:ind w:left="3380" w:hanging="780"/>
        <w:spacing w:after="0"/>
        <w:tabs>
          <w:tab w:leader="none" w:pos="3380" w:val="left"/>
        </w:tabs>
        <w:numPr>
          <w:ilvl w:val="2"/>
          <w:numId w:val="9"/>
        </w:numPr>
        <w:rPr>
          <w:rFonts w:ascii="Arial" w:cs="Arial" w:eastAsia="Arial" w:hAnsi="Arial"/>
          <w:sz w:val="17"/>
          <w:szCs w:val="17"/>
          <w:color w:val="auto"/>
        </w:rPr>
      </w:pPr>
      <w:r>
        <w:rPr>
          <w:rFonts w:ascii="Arial" w:cs="Arial" w:eastAsia="Arial" w:hAnsi="Arial"/>
          <w:sz w:val="17"/>
          <w:szCs w:val="17"/>
          <w:color w:val="auto"/>
        </w:rPr>
        <w:t>The ninetieth (90</w:t>
      </w:r>
      <w:r>
        <w:rPr>
          <w:rFonts w:ascii="Arial" w:cs="Arial" w:eastAsia="Arial" w:hAnsi="Arial"/>
          <w:sz w:val="28"/>
          <w:szCs w:val="28"/>
          <w:color w:val="auto"/>
          <w:vertAlign w:val="superscript"/>
        </w:rPr>
        <w:t>th</w:t>
      </w:r>
      <w:r>
        <w:rPr>
          <w:rFonts w:ascii="Arial" w:cs="Arial" w:eastAsia="Arial" w:hAnsi="Arial"/>
          <w:sz w:val="17"/>
          <w:szCs w:val="17"/>
          <w:color w:val="auto"/>
        </w:rPr>
        <w:t>) day following the Grantee’s termination of employment without Cause or due to the</w:t>
      </w:r>
    </w:p>
    <w:p>
      <w:pPr>
        <w:spacing w:after="0"/>
        <w:rPr>
          <w:rFonts w:ascii="Arial" w:cs="Arial" w:eastAsia="Arial" w:hAnsi="Arial"/>
          <w:sz w:val="17"/>
          <w:szCs w:val="17"/>
          <w:color w:val="auto"/>
        </w:rPr>
      </w:pPr>
      <w:r>
        <w:rPr>
          <w:rFonts w:ascii="Arial" w:cs="Arial" w:eastAsia="Arial" w:hAnsi="Arial"/>
          <w:sz w:val="18"/>
          <w:szCs w:val="18"/>
          <w:color w:val="auto"/>
        </w:rPr>
        <w:t>Grantee’s resignation;</w:t>
      </w:r>
    </w:p>
    <w:p>
      <w:pPr>
        <w:spacing w:after="0" w:line="209" w:lineRule="exact"/>
        <w:rPr>
          <w:rFonts w:ascii="Arial" w:cs="Arial" w:eastAsia="Arial" w:hAnsi="Arial"/>
          <w:sz w:val="17"/>
          <w:szCs w:val="17"/>
          <w:color w:val="auto"/>
        </w:rPr>
      </w:pPr>
    </w:p>
    <w:p>
      <w:pPr>
        <w:ind w:left="3380" w:hanging="780"/>
        <w:spacing w:after="0"/>
        <w:tabs>
          <w:tab w:leader="none" w:pos="3380"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date of the Grantee’s termination of employment in the case of a termination for Cause.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12" w:right="359" w:bottom="1440" w:gutter="0" w:footer="0" w:header="0"/>
        </w:sectPr>
      </w:pPr>
    </w:p>
    <w:bookmarkStart w:id="13" w:name="page14"/>
    <w:bookmarkEnd w:id="13"/>
    <w:p>
      <w:pPr>
        <w:ind w:left="-20" w:right="40" w:firstLine="656"/>
        <w:spacing w:after="0" w:line="275" w:lineRule="auto"/>
        <w:tabs>
          <w:tab w:leader="none" w:pos="1303"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Exercise</w:t>
      </w:r>
      <w:r>
        <w:rPr>
          <w:rFonts w:ascii="Arial" w:cs="Arial" w:eastAsia="Arial" w:hAnsi="Arial"/>
          <w:sz w:val="17"/>
          <w:szCs w:val="17"/>
          <w:color w:val="auto"/>
        </w:rPr>
        <w:t>. The Option may be exercised either for the total number of Shares vested, or for less than the total number of Shares subject to the vested Option. The Options may be exercised only by written notice delivered in accordance with, and payment of the Exercise Price may be made pursuant to any of the methods described in, Section 8.4(b) of the Plan. Upon receipt of notice of exercise and full payment of the aggregate consideration for the Shares in respect of which the Option is being exercised, the Company, or the Company’s agent, shall take such action as may be necessary to effect the transfer to the Grantee the number of Shares as to which the exercise was effective.</w:t>
      </w:r>
    </w:p>
    <w:p>
      <w:pPr>
        <w:spacing w:after="0" w:line="176" w:lineRule="exact"/>
        <w:rPr>
          <w:rFonts w:ascii="Arial" w:cs="Arial" w:eastAsia="Arial" w:hAnsi="Arial"/>
          <w:sz w:val="17"/>
          <w:szCs w:val="17"/>
          <w:color w:val="auto"/>
        </w:rPr>
      </w:pPr>
    </w:p>
    <w:p>
      <w:pPr>
        <w:ind w:left="1280" w:hanging="644"/>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304"/>
        <w:spacing w:after="0" w:line="271" w:lineRule="auto"/>
        <w:tabs>
          <w:tab w:leader="none" w:pos="2012"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This Section 5(a) applies only to (i) all Grantees who are U.S. employees, and (ii) to those Grantees who are employed by a Subsidiary of the Company that is obligated under applicable local law to withhold taxes with respect to the exercise of the Options. The Grantee shall pay to the Company or a designated Subsidiary, promptly upon request, and in any event at the time the Grantee recognizes taxable income with respect to the Options, an amount equal to the taxes the Company determines it is required to withhold under applicable tax laws with respect to the Options. Consistent with the provisions set forth in Section 14.4 of the Plan, the Grantee may satisfy the foregoing requirement by making a payment to the Company in cash or by delivering already owned unrestricted Shares or by having the Company withhold a number of Shares in which the Grantee would otherwise be issued upon exercise of the Options, in each case, having a value equal to the minimum amount of tax required to be withheld. Such Shares shall be valued at Fair Market Value on the date as of which the amount of tax to be withheld is determined.</w:t>
      </w:r>
    </w:p>
    <w:p>
      <w:pPr>
        <w:spacing w:after="0" w:line="178" w:lineRule="exact"/>
        <w:rPr>
          <w:rFonts w:ascii="Arial" w:cs="Arial" w:eastAsia="Arial" w:hAnsi="Arial"/>
          <w:sz w:val="17"/>
          <w:szCs w:val="17"/>
          <w:color w:val="auto"/>
        </w:rPr>
      </w:pPr>
    </w:p>
    <w:p>
      <w:pPr>
        <w:ind w:left="-20" w:right="660" w:firstLine="1304"/>
        <w:spacing w:after="0" w:line="277" w:lineRule="auto"/>
        <w:tabs>
          <w:tab w:leader="none" w:pos="202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Grantee acknowledges that the tax laws and regulations applicable to the Options and the disposition of the shares following the settlement of Options are complex and subject to change.</w:t>
      </w:r>
    </w:p>
    <w:p>
      <w:pPr>
        <w:spacing w:after="0" w:line="170" w:lineRule="exact"/>
        <w:rPr>
          <w:rFonts w:ascii="Arial" w:cs="Arial" w:eastAsia="Arial" w:hAnsi="Arial"/>
          <w:sz w:val="18"/>
          <w:szCs w:val="18"/>
          <w:color w:val="auto"/>
        </w:rPr>
      </w:pPr>
    </w:p>
    <w:p>
      <w:pPr>
        <w:ind w:left="-20" w:right="180" w:firstLine="656"/>
        <w:spacing w:after="0" w:line="273" w:lineRule="auto"/>
        <w:tabs>
          <w:tab w:leader="none" w:pos="1303"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Protections Against Violations of Agreement</w:t>
      </w:r>
      <w:r>
        <w:rPr>
          <w:rFonts w:ascii="Arial" w:cs="Arial" w:eastAsia="Arial" w:hAnsi="Arial"/>
          <w:sz w:val="17"/>
          <w:szCs w:val="17"/>
          <w:color w:val="auto"/>
        </w:rPr>
        <w:t>. No purported sale, assignment, mortgage, hypothecation, transfer, pledge, encumbrance, gift, transfer in trust (voting or other) or other disposition of, or creation of a security interest in or lien on, any of the Options by any holder thereof in violation of the provisions of this Agreement or the Certificate of Incorporation or the Bylaws of the Company, will be valid, and the Company will not transfer any shares resulting from the exercise of any of the Options on its books nor will any of such shares be entitled to vote, nor will any dividends be paid thereon, unless and until there has been full compliance with such provisions to the satisfaction of the Company. The foregoing restrictions are in addition to and not in lieu of any other remedies, legal or equitable, available to enforce such provisions.</w:t>
      </w:r>
    </w:p>
    <w:p>
      <w:pPr>
        <w:spacing w:after="0" w:line="177" w:lineRule="exact"/>
        <w:rPr>
          <w:rFonts w:ascii="Arial" w:cs="Arial" w:eastAsia="Arial" w:hAnsi="Arial"/>
          <w:sz w:val="17"/>
          <w:szCs w:val="17"/>
          <w:color w:val="auto"/>
        </w:rPr>
      </w:pPr>
    </w:p>
    <w:p>
      <w:pPr>
        <w:ind w:left="-20" w:right="200" w:firstLine="656"/>
        <w:spacing w:after="0" w:line="257" w:lineRule="auto"/>
        <w:tabs>
          <w:tab w:leader="none" w:pos="130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Rights as a Shareholder</w:t>
      </w:r>
      <w:r>
        <w:rPr>
          <w:rFonts w:ascii="Arial" w:cs="Arial" w:eastAsia="Arial" w:hAnsi="Arial"/>
          <w:sz w:val="18"/>
          <w:szCs w:val="18"/>
          <w:color w:val="auto"/>
        </w:rPr>
        <w:t>. The Grantee has no right to receive or accrue any dividends or dividend equivalents with respect to the Options. The Grantee shall not possess the right to vote the shares underlying the Options until the Options have been exercised in accordance with the provisions of this Agreement and the Plan, the Grantee has paid the full aggregate Exercise Price for the number of Shares in respect of which the Option was exercised and made arrangements acceptable to the Company for the payment of applicable withholding taxes and the Company has issued and delivered the Shares to the Grantee.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4" w:name="page15"/>
    <w:bookmarkEnd w:id="14"/>
    <w:p>
      <w:pPr>
        <w:ind w:left="-40" w:firstLine="656"/>
        <w:spacing w:after="0" w:line="257" w:lineRule="auto"/>
        <w:tabs>
          <w:tab w:leader="none" w:pos="128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Compliance with Legal Requirements</w:t>
      </w:r>
      <w:r>
        <w:rPr>
          <w:rFonts w:ascii="Arial" w:cs="Arial" w:eastAsia="Arial" w:hAnsi="Arial"/>
          <w:sz w:val="18"/>
          <w:szCs w:val="18"/>
          <w:color w:val="auto"/>
        </w:rPr>
        <w:t>. The grant of the Options, and any other obligations of the Company under this Agreement, shall be subject to all applicable federal, state, and foreign laws, rules, and regulations and to such approvals by any regulatory or governmental agency as may be required. The Committee, in its sole discretion, may postpone the issuance or delivery of Shares as the Committee may consider appropriate and may require the Grantee to make such representations and furnish such information as it may consider appropriate in connection with the issuance or delivery of the Shares in compliance with applicable laws, rules, and regulations.</w:t>
      </w:r>
    </w:p>
    <w:p>
      <w:pPr>
        <w:spacing w:after="0" w:line="187" w:lineRule="exact"/>
        <w:rPr>
          <w:rFonts w:ascii="Arial" w:cs="Arial" w:eastAsia="Arial" w:hAnsi="Arial"/>
          <w:sz w:val="18"/>
          <w:szCs w:val="18"/>
          <w:color w:val="auto"/>
        </w:rPr>
      </w:pPr>
    </w:p>
    <w:p>
      <w:pPr>
        <w:ind w:left="-40" w:right="220" w:firstLine="656"/>
        <w:spacing w:after="0" w:line="277" w:lineRule="auto"/>
        <w:tabs>
          <w:tab w:leader="none" w:pos="128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Survival of Terms</w:t>
      </w:r>
      <w:r>
        <w:rPr>
          <w:rFonts w:ascii="Arial" w:cs="Arial" w:eastAsia="Arial" w:hAnsi="Arial"/>
          <w:sz w:val="18"/>
          <w:szCs w:val="18"/>
          <w:color w:val="auto"/>
        </w:rPr>
        <w:t>. This Agreement shall apply to and bind the Grantee and the Company and their respective permitted assignees and transferees, heirs, legatees, executors, administrators and legal successors.</w:t>
      </w:r>
    </w:p>
    <w:p>
      <w:pPr>
        <w:spacing w:after="0" w:line="170" w:lineRule="exact"/>
        <w:rPr>
          <w:rFonts w:ascii="Arial" w:cs="Arial" w:eastAsia="Arial" w:hAnsi="Arial"/>
          <w:sz w:val="18"/>
          <w:szCs w:val="18"/>
          <w:color w:val="auto"/>
        </w:rPr>
      </w:pPr>
    </w:p>
    <w:p>
      <w:pPr>
        <w:ind w:left="-40" w:firstLine="656"/>
        <w:spacing w:after="0" w:line="255" w:lineRule="auto"/>
        <w:tabs>
          <w:tab w:leader="none" w:pos="137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herein shall be in writing and shall be delivered by hand or sent by certified or registered mail, return receipt requested, postage prepaid, addressed, if to the Grantee, to the Grantee’s attention at the mailing address the Grantee shall have specified to the Company in writing and, if to the Company, to the Company’s office at 1 Lands’ End Lane, Dodgeville, Wisconsin 53595, Attention: General Counsel (or to such other address as the Company shall have specified to the Grantee in writing). All such notices shall be conclusively deemed to be received and shall be effective, if sent by hand delivery, upon receipt, or if sent by registered or certified mail, on the fifth (5th) day after the day on which such notice is mailed.</w:t>
      </w:r>
    </w:p>
    <w:p>
      <w:pPr>
        <w:spacing w:after="0" w:line="192" w:lineRule="exact"/>
        <w:rPr>
          <w:rFonts w:ascii="Arial" w:cs="Arial" w:eastAsia="Arial" w:hAnsi="Arial"/>
          <w:sz w:val="18"/>
          <w:szCs w:val="18"/>
          <w:color w:val="auto"/>
        </w:rPr>
      </w:pPr>
    </w:p>
    <w:p>
      <w:pPr>
        <w:ind w:left="-40" w:right="500" w:firstLine="656"/>
        <w:spacing w:after="0" w:line="342" w:lineRule="auto"/>
        <w:tabs>
          <w:tab w:leader="none" w:pos="136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23" w:lineRule="exact"/>
        <w:rPr>
          <w:rFonts w:ascii="Arial" w:cs="Arial" w:eastAsia="Arial" w:hAnsi="Arial"/>
          <w:sz w:val="16"/>
          <w:szCs w:val="16"/>
          <w:color w:val="auto"/>
        </w:rPr>
      </w:pPr>
    </w:p>
    <w:p>
      <w:pPr>
        <w:ind w:left="-40" w:right="120" w:firstLine="656"/>
        <w:spacing w:after="0" w:line="311" w:lineRule="auto"/>
        <w:tabs>
          <w:tab w:leader="none" w:pos="137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Authority of the Administrator.</w:t>
      </w:r>
      <w:r>
        <w:rPr>
          <w:rFonts w:ascii="Arial" w:cs="Arial" w:eastAsia="Arial" w:hAnsi="Arial"/>
          <w:sz w:val="16"/>
          <w:szCs w:val="16"/>
          <w:color w:val="auto"/>
        </w:rPr>
        <w:t xml:space="preserve"> The Committee shall have full authority to interpret and construe the terms of the Plan and this Agreement. The determination of the Committee as to any such matter of interpretation or construction shall be final, binding and conclusive. Notwithstanding the foregoing, any classification of employment termination shall be resolved in accordance with the terms of the Severance Agreement.</w:t>
      </w:r>
    </w:p>
    <w:p>
      <w:pPr>
        <w:spacing w:after="0" w:line="148" w:lineRule="exact"/>
        <w:rPr>
          <w:rFonts w:ascii="Arial" w:cs="Arial" w:eastAsia="Arial" w:hAnsi="Arial"/>
          <w:sz w:val="16"/>
          <w:szCs w:val="16"/>
          <w:color w:val="auto"/>
        </w:rPr>
      </w:pPr>
    </w:p>
    <w:p>
      <w:pPr>
        <w:ind w:left="-40" w:right="400" w:firstLine="656"/>
        <w:spacing w:after="0" w:line="259" w:lineRule="auto"/>
        <w:tabs>
          <w:tab w:leader="none" w:pos="137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The Grantee has reviewed with the Grantee’s own tax advisors the applicable tax (U.S., foreign, state, and local) consequences of the transactions contemplated by this Agreement. The Grantee is relying solely on such advisors and not on any statements or representations of the Company or any of its agents. The Grantee understands that the Grantee (and not the Company) shall be responsible for any tax liability that may arise as a result of the transactions contemplated by this Agreement.</w:t>
      </w:r>
    </w:p>
    <w:p>
      <w:pPr>
        <w:spacing w:after="0" w:line="186" w:lineRule="exact"/>
        <w:rPr>
          <w:rFonts w:ascii="Arial" w:cs="Arial" w:eastAsia="Arial" w:hAnsi="Arial"/>
          <w:sz w:val="18"/>
          <w:szCs w:val="18"/>
          <w:color w:val="auto"/>
        </w:rPr>
      </w:pPr>
    </w:p>
    <w:p>
      <w:pPr>
        <w:ind w:left="-40" w:right="20" w:firstLine="656"/>
        <w:spacing w:after="0" w:line="255" w:lineRule="auto"/>
        <w:tabs>
          <w:tab w:leader="none" w:pos="137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This Agreement and the Plan and the other related agreements expressly referred to herein set forth the entire agreement and understanding between the parties hereto and supersedes all prior agreements and understandings relating to the subject matter hereof. This Agreement may be executed in one or more counterparts, each of which shall be deemed to be an original, but all such counterparts shall together constitute one and the same agreement. The headings of sections and subsections herein are included solely for convenience of reference and shall not affect the meaning of any of the provisions of this Agreement. This Agreement shall be governed by, and construed in accordance with, the laws of the State of Wisconsin.</w:t>
      </w:r>
    </w:p>
    <w:p>
      <w:pPr>
        <w:spacing w:after="0" w:line="192" w:lineRule="exact"/>
        <w:rPr>
          <w:rFonts w:ascii="Arial" w:cs="Arial" w:eastAsia="Arial" w:hAnsi="Arial"/>
          <w:sz w:val="18"/>
          <w:szCs w:val="18"/>
          <w:color w:val="auto"/>
        </w:rPr>
      </w:pPr>
    </w:p>
    <w:p>
      <w:pPr>
        <w:ind w:left="-40" w:right="140" w:firstLine="656"/>
        <w:spacing w:after="0" w:line="259" w:lineRule="auto"/>
        <w:tabs>
          <w:tab w:leader="none" w:pos="137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The Options are subject to the terms of the Severance Agreement, and, to the extent required by applicable law, any Company recoupment, clawback, or similar policy related to financials as it may be in effect from time to time, any of which could, in certain circumstances, require repayment or forfeiture of the Options or any Shares or other cash or property received with respect to the Options (including any value received from a disposition of the Shares acquired upon exercise of the Options).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15" w:name="page16"/>
    <w:bookmarkEnd w:id="15"/>
    <w:p>
      <w:pPr>
        <w:ind w:left="-20" w:right="180" w:firstLine="656"/>
        <w:spacing w:after="0" w:line="291" w:lineRule="auto"/>
        <w:tabs>
          <w:tab w:leader="none" w:pos="139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Should any provision of this Agreement be held by a court of competent jurisdiction to be unenforceable, or enforceable only if modified, such holding shall not affect the validity of the remainder of this Agreement, the balance of which shall continue to be binding upon the parties hereto with any such modification (if any) to become a part hereof and treated as though contained in this original Agreement. Moreover, if one or more of the provisions contained in this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spacing w:after="0" w:line="166" w:lineRule="exact"/>
        <w:rPr>
          <w:rFonts w:ascii="Arial" w:cs="Arial" w:eastAsia="Arial" w:hAnsi="Arial"/>
          <w:sz w:val="16"/>
          <w:szCs w:val="16"/>
          <w:color w:val="auto"/>
        </w:rPr>
      </w:pPr>
    </w:p>
    <w:p>
      <w:pPr>
        <w:ind w:left="-20" w:right="140" w:firstLine="656"/>
        <w:spacing w:after="0" w:line="263" w:lineRule="auto"/>
        <w:tabs>
          <w:tab w:leader="none" w:pos="139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Amendments; Construction</w:t>
      </w:r>
      <w:r>
        <w:rPr>
          <w:rFonts w:ascii="Arial" w:cs="Arial" w:eastAsia="Arial" w:hAnsi="Arial"/>
          <w:sz w:val="18"/>
          <w:szCs w:val="18"/>
          <w:color w:val="auto"/>
        </w:rPr>
        <w:t>. The Committee may amend the terms of this Agreement prospectively or retroactively at any time, but no such amendment shall impair the rights of the Grantee hereunder without the Grantee’s consent. Headings to Sections of this Agreement are intended for convenience of reference only, are not part of the Options and shall have no effect on the interpretation hereof.</w:t>
      </w:r>
    </w:p>
    <w:p>
      <w:pPr>
        <w:spacing w:after="0" w:line="183" w:lineRule="exact"/>
        <w:rPr>
          <w:rFonts w:ascii="Arial" w:cs="Arial" w:eastAsia="Arial" w:hAnsi="Arial"/>
          <w:sz w:val="18"/>
          <w:szCs w:val="18"/>
          <w:color w:val="auto"/>
        </w:rPr>
      </w:pPr>
    </w:p>
    <w:p>
      <w:pPr>
        <w:ind w:left="-20" w:right="40" w:firstLine="656"/>
        <w:spacing w:after="0" w:line="311" w:lineRule="auto"/>
        <w:tabs>
          <w:tab w:leader="none" w:pos="139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Acceptance</w:t>
      </w:r>
      <w:r>
        <w:rPr>
          <w:rFonts w:ascii="Arial" w:cs="Arial" w:eastAsia="Arial" w:hAnsi="Arial"/>
          <w:sz w:val="16"/>
          <w:szCs w:val="16"/>
          <w:color w:val="auto"/>
        </w:rPr>
        <w:t>. The Grantee hereby acknowledges receipt of a copy of the Plan and this Agreement. The Grantee has read and understands the terms and provision hereof and thereof, and accepts the Options subject to all the terms and conditions of the Plan and this Agreement. The Grantee hereby agrees to accept as binding, conclusive and final all decisions or interpretations of the Committee upon any questions arising under this Agreement.</w:t>
      </w:r>
    </w:p>
    <w:p>
      <w:pPr>
        <w:spacing w:after="0" w:line="148" w:lineRule="exact"/>
        <w:rPr>
          <w:rFonts w:ascii="Arial" w:cs="Arial" w:eastAsia="Arial" w:hAnsi="Arial"/>
          <w:sz w:val="16"/>
          <w:szCs w:val="16"/>
          <w:color w:val="auto"/>
        </w:rPr>
      </w:pPr>
    </w:p>
    <w:p>
      <w:pPr>
        <w:ind w:left="1280" w:hanging="644"/>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0" w:firstLine="1304"/>
        <w:spacing w:after="0" w:line="275" w:lineRule="auto"/>
        <w:tabs>
          <w:tab w:leader="none" w:pos="2015"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No Rights to Grants or Continued Employment</w:t>
      </w:r>
      <w:r>
        <w:rPr>
          <w:rFonts w:ascii="Arial" w:cs="Arial" w:eastAsia="Arial" w:hAnsi="Arial"/>
          <w:sz w:val="17"/>
          <w:szCs w:val="17"/>
          <w:color w:val="auto"/>
        </w:rPr>
        <w:t>. The Grantee acknowledges that the award granted under this Agreement is not an employment right, and is being granted at the sole discretion of the Committee. The Grantee shall not have any claim or right to receive grants of awards under the Plan. Neither the Plan nor this Agreement, nor any action taken or omitted to be taken hereunder or thereunder, shall be deemed to create or confer on the Grantee any right to be retained as an employee of the Company or any Subsidiary thereof, or to interfere with or to limit in any way the right of the Company or any Subsidiary thereof to terminate the employment of the Grantee at any time.</w:t>
      </w:r>
    </w:p>
    <w:p>
      <w:pPr>
        <w:spacing w:after="0" w:line="176" w:lineRule="exact"/>
        <w:rPr>
          <w:rFonts w:ascii="Arial" w:cs="Arial" w:eastAsia="Arial" w:hAnsi="Arial"/>
          <w:sz w:val="17"/>
          <w:szCs w:val="17"/>
          <w:color w:val="auto"/>
        </w:rPr>
      </w:pPr>
    </w:p>
    <w:p>
      <w:pPr>
        <w:ind w:left="-20" w:firstLine="1304"/>
        <w:spacing w:after="0" w:line="272" w:lineRule="auto"/>
        <w:tabs>
          <w:tab w:leader="none" w:pos="2025"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No Restriction on Right of Company to Effect Corporate Changes</w:t>
      </w:r>
      <w:r>
        <w:rPr>
          <w:rFonts w:ascii="Arial" w:cs="Arial" w:eastAsia="Arial" w:hAnsi="Arial"/>
          <w:sz w:val="17"/>
          <w:szCs w:val="17"/>
          <w:color w:val="auto"/>
        </w:rPr>
        <w:t>. Neither the Plan nor this Agreement shall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Shares or the rights thereof or which are convertible into or exchangeable for Shares, or the dissolution or liquidation of the Company, or any sale or transfer of all or any part of the assets or business of the Company, or any other corporate act or proceeding, whether of a similar character or otherwise. In such event, any adjustment shall be made in accordance with Section 12 of the Plan.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6" w:name="page17"/>
    <w:bookmarkEnd w:id="16"/>
    <w:p>
      <w:pPr>
        <w:ind w:left="2040" w:hanging="736"/>
        <w:spacing w:after="0"/>
        <w:tabs>
          <w:tab w:leader="none" w:pos="204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The Company shall have the right to assign any of its rights and to delegate any of its duties under this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any of its Affiliates.</w:t>
      </w:r>
    </w:p>
    <w:p>
      <w:pPr>
        <w:spacing w:after="0" w:line="21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THIS AGREEMENT SHALL BE NULL AND VOID AND UNENFORCEABLE BY THE GRANTEE UNLESS SIGNED AND DELIVERED TO THE COMPANY NOT LATER THAN FIVE (5) DAYS SUBSEQUENT TO THE GRANT DATE.</w:t>
      </w:r>
    </w:p>
    <w:p>
      <w:pPr>
        <w:spacing w:after="0" w:line="170" w:lineRule="exact"/>
        <w:rPr>
          <w:sz w:val="20"/>
          <w:szCs w:val="20"/>
          <w:color w:val="auto"/>
        </w:rPr>
      </w:pPr>
    </w:p>
    <w:p>
      <w:pPr>
        <w:ind w:right="720" w:firstLine="324"/>
        <w:spacing w:after="0" w:line="263" w:lineRule="auto"/>
        <w:rPr>
          <w:sz w:val="20"/>
          <w:szCs w:val="20"/>
          <w:color w:val="auto"/>
        </w:rPr>
      </w:pPr>
      <w:r>
        <w:rPr>
          <w:rFonts w:ascii="Arial" w:cs="Arial" w:eastAsia="Arial" w:hAnsi="Arial"/>
          <w:sz w:val="18"/>
          <w:szCs w:val="18"/>
          <w:color w:val="auto"/>
        </w:rPr>
        <w:t>BY SIGNING THIS AGREEMENT, THE GRANTEE IS HEREBY CONSENTING TO THE PROCESSING AND TRANSFER OF THE GRANTEE’S PERSONAL DATA BY THE COMPANY TO THE EXTENT NECESSARY TO ADMINISTER AND PROCESS THE AWARDS GRANTED UNDER THIS AGREEMENT.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IN WITNESS WHEREOF, the Company and the Grantee have executed this Sign-On Nonqualified Stock Option Agreement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LANDS’ END, INC.</w:t>
      </w:r>
    </w:p>
    <w:p>
      <w:pPr>
        <w:spacing w:after="0" w:line="22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L.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Peter L. Gray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 Executive Vice President, Chief Administrative Officer and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J.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Andrew J.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908" w:right="7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LANDS’ END,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SIGN-ON RESTRICTED STOCK UNIT AGREEMENT</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920" w:type="dxa"/>
            <w:vAlign w:val="bottom"/>
          </w:tcPr>
          <w:p>
            <w:pPr>
              <w:spacing w:after="0"/>
              <w:rPr>
                <w:sz w:val="20"/>
                <w:szCs w:val="20"/>
                <w:color w:val="auto"/>
              </w:rPr>
            </w:pPr>
            <w:r>
              <w:rPr>
                <w:rFonts w:ascii="Arial" w:cs="Arial" w:eastAsia="Arial" w:hAnsi="Arial"/>
                <w:sz w:val="18"/>
                <w:szCs w:val="18"/>
                <w:b w:val="1"/>
                <w:bCs w:val="1"/>
                <w:color w:val="auto"/>
              </w:rPr>
              <w:t>Name of Grantee:</w:t>
            </w:r>
          </w:p>
        </w:tc>
        <w:tc>
          <w:tcPr>
            <w:tcW w:w="302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Andrew J. McLean</w:t>
            </w:r>
          </w:p>
        </w:tc>
        <w:tc>
          <w:tcPr>
            <w:tcW w:w="1660" w:type="dxa"/>
            <w:vAlign w:val="bottom"/>
            <w:gridSpan w:val="4"/>
          </w:tcPr>
          <w:p>
            <w:pPr>
              <w:ind w:left="120"/>
              <w:spacing w:after="0"/>
              <w:rPr>
                <w:sz w:val="20"/>
                <w:szCs w:val="20"/>
                <w:color w:val="auto"/>
              </w:rPr>
            </w:pPr>
            <w:r>
              <w:rPr>
                <w:rFonts w:ascii="Arial" w:cs="Arial" w:eastAsia="Arial" w:hAnsi="Arial"/>
                <w:sz w:val="18"/>
                <w:szCs w:val="18"/>
                <w:color w:val="auto"/>
              </w:rPr>
              <w:t>(the “Grantee”)</w:t>
            </w:r>
          </w:p>
        </w:tc>
      </w:tr>
      <w:tr>
        <w:trPr>
          <w:trHeight w:val="21"/>
        </w:trPr>
        <w:tc>
          <w:tcPr>
            <w:tcW w:w="49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5"/>
        </w:trPr>
        <w:tc>
          <w:tcPr>
            <w:tcW w:w="4920" w:type="dxa"/>
            <w:vAlign w:val="bottom"/>
          </w:tcPr>
          <w:p>
            <w:pPr>
              <w:spacing w:after="0"/>
              <w:rPr>
                <w:sz w:val="20"/>
                <w:szCs w:val="20"/>
                <w:color w:val="auto"/>
              </w:rPr>
            </w:pPr>
            <w:r>
              <w:rPr>
                <w:rFonts w:ascii="Arial" w:cs="Arial" w:eastAsia="Arial" w:hAnsi="Arial"/>
                <w:sz w:val="18"/>
                <w:szCs w:val="18"/>
                <w:b w:val="1"/>
                <w:bCs w:val="1"/>
                <w:color w:val="auto"/>
              </w:rPr>
              <w:t>No. of Restricted Stock Units: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115,633</w:t>
            </w:r>
          </w:p>
        </w:tc>
        <w:tc>
          <w:tcPr>
            <w:tcW w:w="120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5"/>
        </w:trPr>
        <w:tc>
          <w:tcPr>
            <w:tcW w:w="4920" w:type="dxa"/>
            <w:vAlign w:val="bottom"/>
          </w:tcPr>
          <w:p>
            <w:pPr>
              <w:spacing w:after="0"/>
              <w:rPr>
                <w:sz w:val="20"/>
                <w:szCs w:val="20"/>
                <w:color w:val="auto"/>
              </w:rPr>
            </w:pPr>
            <w:r>
              <w:rPr>
                <w:rFonts w:ascii="Arial" w:cs="Arial" w:eastAsia="Arial" w:hAnsi="Arial"/>
                <w:sz w:val="18"/>
                <w:szCs w:val="18"/>
                <w:b w:val="1"/>
                <w:bCs w:val="1"/>
                <w:color w:val="auto"/>
              </w:rPr>
              <w:t>Issuance Date:</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November 1,</w:t>
            </w:r>
          </w:p>
        </w:tc>
        <w:tc>
          <w:tcPr>
            <w:tcW w:w="1200" w:type="dxa"/>
            <w:vAlign w:val="bottom"/>
          </w:tcPr>
          <w:p>
            <w:pPr>
              <w:jc w:val="right"/>
              <w:ind w:right="730"/>
              <w:spacing w:after="0"/>
              <w:rPr>
                <w:sz w:val="20"/>
                <w:szCs w:val="20"/>
                <w:color w:val="auto"/>
              </w:rPr>
            </w:pPr>
            <w:r>
              <w:rPr>
                <w:rFonts w:ascii="Arial" w:cs="Arial" w:eastAsia="Arial" w:hAnsi="Arial"/>
                <w:sz w:val="18"/>
                <w:szCs w:val="18"/>
                <w:b w:val="1"/>
                <w:bCs w:val="1"/>
                <w:color w:val="auto"/>
                <w:w w:val="89"/>
              </w:rPr>
              <w:t>2022</w:t>
            </w:r>
          </w:p>
        </w:tc>
        <w:tc>
          <w:tcPr>
            <w:tcW w:w="1660" w:type="dxa"/>
            <w:vAlign w:val="bottom"/>
            <w:gridSpan w:val="4"/>
          </w:tcPr>
          <w:p>
            <w:pPr>
              <w:ind w:left="120"/>
              <w:spacing w:after="0"/>
              <w:rPr>
                <w:sz w:val="20"/>
                <w:szCs w:val="20"/>
                <w:color w:val="auto"/>
              </w:rPr>
            </w:pPr>
            <w:r>
              <w:rPr>
                <w:rFonts w:ascii="Arial" w:cs="Arial" w:eastAsia="Arial" w:hAnsi="Arial"/>
                <w:sz w:val="18"/>
                <w:szCs w:val="18"/>
                <w:color w:val="auto"/>
                <w:w w:val="89"/>
              </w:rPr>
              <w:t>(the “Issuance Date”)</w:t>
            </w:r>
          </w:p>
        </w:tc>
      </w:tr>
      <w:tr>
        <w:trPr>
          <w:trHeight w:val="21"/>
        </w:trPr>
        <w:tc>
          <w:tcPr>
            <w:tcW w:w="49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Grantee is currently an employee of Lands’ End,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220" w:firstLine="441"/>
        <w:spacing w:after="0" w:line="263" w:lineRule="auto"/>
        <w:rPr>
          <w:sz w:val="20"/>
          <w:szCs w:val="20"/>
          <w:color w:val="auto"/>
        </w:rPr>
      </w:pPr>
      <w:r>
        <w:rPr>
          <w:rFonts w:ascii="Arial" w:cs="Arial" w:eastAsia="Arial" w:hAnsi="Arial"/>
          <w:sz w:val="18"/>
          <w:szCs w:val="18"/>
          <w:color w:val="auto"/>
        </w:rPr>
        <w:t>WHEREAS, the Company desires to (i) induce the Grantee with an incentive to become and remain an employee of the Company and (ii) increase the Grantee’s interest in the success of the Company by granting restricted stock units (the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payable in the form of shares of common stock of the Company to the Grantee; and</w:t>
      </w:r>
    </w:p>
    <w:p>
      <w:pPr>
        <w:spacing w:after="0" w:line="184" w:lineRule="exact"/>
        <w:rPr>
          <w:sz w:val="20"/>
          <w:szCs w:val="20"/>
          <w:color w:val="auto"/>
        </w:rPr>
      </w:pPr>
    </w:p>
    <w:p>
      <w:pPr>
        <w:ind w:right="280" w:firstLine="441"/>
        <w:spacing w:after="0" w:line="263" w:lineRule="auto"/>
        <w:rPr>
          <w:sz w:val="20"/>
          <w:szCs w:val="20"/>
          <w:color w:val="auto"/>
        </w:rPr>
      </w:pPr>
      <w:r>
        <w:rPr>
          <w:rFonts w:ascii="Arial" w:cs="Arial" w:eastAsia="Arial" w:hAnsi="Arial"/>
          <w:sz w:val="18"/>
          <w:szCs w:val="18"/>
          <w:color w:val="auto"/>
        </w:rPr>
        <w:t>WHEREAS, the Company desires to grant the Restricted Stock Units, which grant is intended to constitute an employment inducement grant as described in Rule 5635(c)(4) of the NASDAQ Stock Market Listing Rules, pursuant to the terms of this Lands’ End, Inc. Sign-On Restricted Stock Unit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4"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NOW, THEREFORE, in consideration of the mutual promises, covenants and agreements set forth herein and other good and valuable consideration, the receipt and sufficiency of which are hereby acknowledged, the parties hereto do hereby agree as follows:</w:t>
      </w:r>
    </w:p>
    <w:p>
      <w:pPr>
        <w:spacing w:after="0" w:line="170" w:lineRule="exact"/>
        <w:rPr>
          <w:sz w:val="20"/>
          <w:szCs w:val="20"/>
          <w:color w:val="auto"/>
        </w:rPr>
      </w:pPr>
    </w:p>
    <w:p>
      <w:pPr>
        <w:ind w:right="260" w:firstLine="449"/>
        <w:spacing w:after="0" w:line="259" w:lineRule="auto"/>
        <w:tabs>
          <w:tab w:leader="none" w:pos="62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Definitions; Incorporation of Plan Terms</w:t>
      </w:r>
      <w:r>
        <w:rPr>
          <w:rFonts w:ascii="Arial" w:cs="Arial" w:eastAsia="Arial" w:hAnsi="Arial"/>
          <w:sz w:val="18"/>
          <w:szCs w:val="18"/>
          <w:color w:val="auto"/>
        </w:rPr>
        <w:t>. The Restricted Stock Units, although not granted pursuant to the Lands’ End, Inc. Amended and Restated 2017 Stock Plan (the “Plan”) shall, except as expressly set forth in this Agreement, be subject to the terms and provisions of the Plan, which is incorporated herein by reference. The Grantee hereby acknowledges receipt of a copy of the Plan. All capitalized terms used but not defined herein have the definitions set forth in the Plan.</w:t>
      </w:r>
    </w:p>
    <w:p>
      <w:pPr>
        <w:spacing w:after="0" w:line="186" w:lineRule="exact"/>
        <w:rPr>
          <w:rFonts w:ascii="Arial" w:cs="Arial" w:eastAsia="Arial" w:hAnsi="Arial"/>
          <w:sz w:val="18"/>
          <w:szCs w:val="18"/>
          <w:color w:val="auto"/>
        </w:rPr>
      </w:pPr>
    </w:p>
    <w:p>
      <w:pPr>
        <w:ind w:left="620" w:hanging="171"/>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w:t>
      </w:r>
    </w:p>
    <w:p>
      <w:pPr>
        <w:spacing w:after="0" w:line="225" w:lineRule="exact"/>
        <w:rPr>
          <w:sz w:val="20"/>
          <w:szCs w:val="20"/>
          <w:color w:val="auto"/>
        </w:rPr>
      </w:pPr>
    </w:p>
    <w:p>
      <w:pPr>
        <w:jc w:val="both"/>
        <w:ind w:right="80" w:firstLine="449"/>
        <w:spacing w:after="0" w:line="279" w:lineRule="auto"/>
        <w:tabs>
          <w:tab w:leader="none" w:pos="686"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Subject to the provisions of this Agreement and the Plan, the Company hereby grants and issues to the Grantee the Restricted Stock Units specified above. The Company shall credit to a bookkeeping account (the “</w:t>
      </w:r>
      <w:r>
        <w:rPr>
          <w:rFonts w:ascii="Arial" w:cs="Arial" w:eastAsia="Arial" w:hAnsi="Arial"/>
          <w:sz w:val="17"/>
          <w:szCs w:val="17"/>
          <w:u w:val="single" w:color="auto"/>
          <w:color w:val="auto"/>
        </w:rPr>
        <w:t>Account</w:t>
      </w:r>
      <w:r>
        <w:rPr>
          <w:rFonts w:ascii="Arial" w:cs="Arial" w:eastAsia="Arial" w:hAnsi="Arial"/>
          <w:sz w:val="17"/>
          <w:szCs w:val="17"/>
          <w:color w:val="auto"/>
        </w:rPr>
        <w:t>”) maintained by the Company, or a third party on behalf of the Company, for the Grantee’s benefit the Restricted Stock Units, each of which shall be deemed to be the equivalent of one share of the Company’s common stock, par value $.01 per share (each, a “</w:t>
      </w:r>
      <w:r>
        <w:rPr>
          <w:rFonts w:ascii="Arial" w:cs="Arial" w:eastAsia="Arial" w:hAnsi="Arial"/>
          <w:sz w:val="17"/>
          <w:szCs w:val="17"/>
          <w:u w:val="single" w:color="auto"/>
          <w:color w:val="auto"/>
        </w:rPr>
        <w:t>Share</w:t>
      </w:r>
      <w:r>
        <w:rPr>
          <w:rFonts w:ascii="Arial" w:cs="Arial" w:eastAsia="Arial" w:hAnsi="Arial"/>
          <w:sz w:val="17"/>
          <w:szCs w:val="17"/>
          <w:color w:val="auto"/>
        </w:rPr>
        <w:t>”). The Company represents that the Restricted Stock Units will be covered by a Form S-8.</w:t>
      </w:r>
    </w:p>
    <w:p>
      <w:pPr>
        <w:spacing w:after="0" w:line="171" w:lineRule="exact"/>
        <w:rPr>
          <w:rFonts w:ascii="Arial" w:cs="Arial" w:eastAsia="Arial" w:hAnsi="Arial"/>
          <w:sz w:val="17"/>
          <w:szCs w:val="17"/>
          <w:color w:val="auto"/>
        </w:rPr>
      </w:pPr>
    </w:p>
    <w:p>
      <w:pPr>
        <w:ind w:right="420" w:firstLine="449"/>
        <w:spacing w:after="0" w:line="259" w:lineRule="auto"/>
        <w:tabs>
          <w:tab w:leader="none" w:pos="6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and whenever any cash dividends are declared on the Shares, on the date such dividend is paid, the Company will credit to the Account an amount which shall be equal to the amount of such dividend with respect to such Shares. Such amount shall be subject to the vesting and forfeiture provisions contained in Section 3(a) below. The amount shall only be payable in cash and shall be payable at the same time as amounts are otherwise payable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left="-60" w:right="80" w:firstLine="453"/>
        <w:spacing w:after="0" w:line="273" w:lineRule="auto"/>
        <w:tabs>
          <w:tab w:leader="none" w:pos="63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If and whenever the Company declares and pays a dividend or distribution on the Shares in the form of additional shares, or there occurs a forward split of Shares, then a number of additional Restricted Stock Units shall be credited to the Account as of the payment date for such dividend or distribution or forward split equal to (i) the total number of Restricted Stock Units credited to the Account on the record date for such dividend or distribution or split (other than previously settled or forfeited Restricted Stock Units), multiplied by (ii) the number of additional Shares actually paid as a dividend or distribution or issued in such split in respect of each outstanding Share. The additional Restricted Stock Units shall be or become vested to the same extent as the Restricted Stock Units that resulted in the crediting of such additional Restricted Stock Units.</w:t>
      </w:r>
    </w:p>
    <w:p>
      <w:pPr>
        <w:spacing w:after="0" w:line="177" w:lineRule="exact"/>
        <w:rPr>
          <w:rFonts w:ascii="Arial" w:cs="Arial" w:eastAsia="Arial" w:hAnsi="Arial"/>
          <w:sz w:val="17"/>
          <w:szCs w:val="17"/>
          <w:color w:val="auto"/>
        </w:rPr>
      </w:pPr>
    </w:p>
    <w:p>
      <w:pPr>
        <w:ind w:left="560" w:hanging="171"/>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hanging="251"/>
        <w:spacing w:after="0"/>
        <w:tabs>
          <w:tab w:leader="none" w:pos="64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right="80" w:firstLine="889"/>
        <w:spacing w:after="0" w:line="263" w:lineRule="auto"/>
        <w:tabs>
          <w:tab w:leader="none" w:pos="1036" w:val="left"/>
        </w:tabs>
        <w:numPr>
          <w:ilvl w:val="2"/>
          <w:numId w:val="17"/>
        </w:numPr>
        <w:rPr>
          <w:rFonts w:ascii="Arial" w:cs="Arial" w:eastAsia="Arial" w:hAnsi="Arial"/>
          <w:sz w:val="18"/>
          <w:szCs w:val="18"/>
          <w:color w:val="auto"/>
        </w:rPr>
      </w:pPr>
      <w:r>
        <w:rPr>
          <w:rFonts w:ascii="Arial" w:cs="Arial" w:eastAsia="Arial" w:hAnsi="Arial"/>
          <w:sz w:val="18"/>
          <w:szCs w:val="18"/>
          <w:color w:val="auto"/>
        </w:rPr>
        <w:t>All of the Restricted Stock Units shall initially be unvested. All Restricted Stock Units shall be subject to the following vesting schedule and, except as otherwise provided in this Section 3(a) below, if a Grantee terminates employment for any reason prior to any given Vesting Date identified below, such Grantee shall forfeit any unvested Restricted Stock Units upon such termination of employment:</w:t>
      </w:r>
    </w:p>
    <w:p>
      <w:pPr>
        <w:spacing w:after="0" w:line="180" w:lineRule="exact"/>
        <w:rPr>
          <w:sz w:val="20"/>
          <w:szCs w:val="20"/>
          <w:color w:val="auto"/>
        </w:rPr>
      </w:pPr>
    </w:p>
    <w:tbl>
      <w:tblPr>
        <w:tblLayout w:type="fixed"/>
        <w:tblInd w:w="332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30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Restricted Stock</w:t>
            </w:r>
          </w:p>
        </w:tc>
      </w:tr>
      <w:tr>
        <w:trPr>
          <w:trHeight w:val="234"/>
        </w:trPr>
        <w:tc>
          <w:tcPr>
            <w:tcW w:w="302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Vesting Date</w:t>
            </w:r>
          </w:p>
        </w:tc>
        <w:tc>
          <w:tcPr>
            <w:tcW w:w="4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Units Vested</w:t>
            </w:r>
          </w:p>
        </w:tc>
        <w:tc>
          <w:tcPr>
            <w:tcW w:w="160" w:type="dxa"/>
            <w:vAlign w:val="bottom"/>
            <w:tcBorders>
              <w:bottom w:val="single" w:sz="8" w:color="CCEEFF"/>
            </w:tcBorders>
          </w:tcPr>
          <w:p>
            <w:pPr>
              <w:spacing w:after="0"/>
              <w:rPr>
                <w:sz w:val="20"/>
                <w:szCs w:val="20"/>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November 1, 2023</w:t>
            </w:r>
          </w:p>
        </w:tc>
        <w:tc>
          <w:tcPr>
            <w:tcW w:w="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November 1, 2024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November 1, 2025</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202" w:lineRule="exact"/>
        <w:rPr>
          <w:sz w:val="20"/>
          <w:szCs w:val="20"/>
          <w:color w:val="auto"/>
        </w:rPr>
      </w:pPr>
    </w:p>
    <w:p>
      <w:pPr>
        <w:ind w:left="-60" w:right="20" w:firstLine="889"/>
        <w:spacing w:after="0" w:line="311" w:lineRule="auto"/>
        <w:tabs>
          <w:tab w:leader="none" w:pos="1086"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Grantee’s employment terminates due to a termination by the Company for Cause (as defined in the Grantee’s Executive Severance Agreement, by and between the Grantee and the Company, dated September 6, 2022 (the “Severance Agreement”)) or a resignation by the Grantee without Good Reason (as defined in the Severance Agreement), all of the unvested Restricted Stock Units will be forfeited upon such separation from service.</w:t>
      </w:r>
    </w:p>
    <w:p>
      <w:pPr>
        <w:spacing w:after="0" w:line="148" w:lineRule="exact"/>
        <w:rPr>
          <w:rFonts w:ascii="Arial" w:cs="Arial" w:eastAsia="Arial" w:hAnsi="Arial"/>
          <w:sz w:val="16"/>
          <w:szCs w:val="16"/>
          <w:color w:val="auto"/>
        </w:rPr>
      </w:pPr>
    </w:p>
    <w:p>
      <w:pPr>
        <w:ind w:left="-60" w:right="160" w:firstLine="889"/>
        <w:spacing w:after="0" w:line="263" w:lineRule="auto"/>
        <w:tabs>
          <w:tab w:leader="none" w:pos="11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Grantee’s employment is terminated by the Company without Cause, by the Executive with Good Reason, any portion of the Restricted Stock Units that would have become vested within the 12 months following the date of such separation from service will become immediately vested upon such separation from service.</w:t>
      </w:r>
    </w:p>
    <w:p>
      <w:pPr>
        <w:spacing w:after="0" w:line="183" w:lineRule="exact"/>
        <w:rPr>
          <w:rFonts w:ascii="Arial" w:cs="Arial" w:eastAsia="Arial" w:hAnsi="Arial"/>
          <w:sz w:val="18"/>
          <w:szCs w:val="18"/>
          <w:color w:val="auto"/>
        </w:rPr>
      </w:pPr>
    </w:p>
    <w:p>
      <w:pPr>
        <w:ind w:left="-60" w:firstLine="889"/>
        <w:spacing w:after="0" w:line="277" w:lineRule="auto"/>
        <w:tabs>
          <w:tab w:leader="none" w:pos="11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Grantee’s employment is terminated due to death or Disability (as defined in the Severance Agreement), 50% of the Restricted Stock Units not previously vested will become immediately vested upon such separation from service.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80" w:top="908" w:right="379" w:bottom="1440" w:gutter="0" w:footer="0" w:header="0"/>
        </w:sectPr>
      </w:pPr>
    </w:p>
    <w:bookmarkStart w:id="20" w:name="page21"/>
    <w:bookmarkEnd w:id="20"/>
    <w:p>
      <w:pPr>
        <w:ind w:right="420" w:firstLine="449"/>
        <w:spacing w:after="0" w:line="277"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Restricted Stock Units not previously forfeited shall be settled within thirty (30) days after the applicable Date of Vesting under Section 3(a) by delivery of one Share for each Restricted Stock Unit being settled.</w:t>
      </w:r>
    </w:p>
    <w:p>
      <w:pPr>
        <w:spacing w:after="0" w:line="170" w:lineRule="exact"/>
        <w:rPr>
          <w:sz w:val="20"/>
          <w:szCs w:val="20"/>
          <w:color w:val="auto"/>
        </w:rPr>
      </w:pPr>
    </w:p>
    <w:p>
      <w:pPr>
        <w:ind w:left="620" w:hanging="171"/>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94"/>
        <w:spacing w:after="0" w:line="270" w:lineRule="auto"/>
        <w:tabs>
          <w:tab w:leader="none" w:pos="731"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This Section 4(a) applies only to (i) all Grantees who are U.S. employees, and (ii) to those Grantees who are employed by a Subsidiary of the Company that is obligated under applicable local law to withhold taxes with respect to the settlement of the Restricted Stock Units. Such Grantee shall pay to the Company or a designated Subsidiary, promptly upon request, and in any event at the time the Grantee recognizes taxable income with respect to the Restricted Stock Units, an amount equal to the taxes the Company determines it is required to withhold under applicable tax laws with respect to the Restricted Stock Units. Consistent with the provisions set forth in Section 14.4 of the Plan, the Grantee may satisfy the foregoing requirement by making a payment to the Company in cash or by delivering already owned unrestricted Shares or by having the Company withhold a number of Shares in which the Grantee would otherwise become vested under this Agreement (which shares shall be withheld prior to delivery of shares issued following any vesting date), in each case, having a value equal to the minimum amount of tax required to be withheld. Such Shares shall be valued at their Fair Market Value on the date as of which the amount of tax to be withheld is determined.</w:t>
      </w:r>
    </w:p>
    <w:p>
      <w:pPr>
        <w:spacing w:after="0" w:line="181" w:lineRule="exact"/>
        <w:rPr>
          <w:sz w:val="20"/>
          <w:szCs w:val="20"/>
          <w:color w:val="auto"/>
        </w:rPr>
      </w:pPr>
    </w:p>
    <w:p>
      <w:pPr>
        <w:ind w:right="120" w:firstLine="449"/>
        <w:spacing w:after="0" w:line="277" w:lineRule="auto"/>
        <w:tabs>
          <w:tab w:leader="none" w:pos="6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Grantee acknowledges that the tax laws and regulations applicable to the Restricted Stock Units and the disposition of the shares following the settlement of Restricted Stock Units are complex and subject to change.</w:t>
      </w:r>
    </w:p>
    <w:p>
      <w:pPr>
        <w:spacing w:after="0" w:line="170" w:lineRule="exact"/>
        <w:rPr>
          <w:sz w:val="20"/>
          <w:szCs w:val="20"/>
          <w:color w:val="auto"/>
        </w:rPr>
      </w:pPr>
    </w:p>
    <w:p>
      <w:pPr>
        <w:ind w:right="40" w:firstLine="449"/>
        <w:spacing w:after="0" w:line="273" w:lineRule="auto"/>
        <w:tabs>
          <w:tab w:leader="none" w:pos="621"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Protections Against Violations of Agreement</w:t>
      </w:r>
      <w:r>
        <w:rPr>
          <w:rFonts w:ascii="Arial" w:cs="Arial" w:eastAsia="Arial" w:hAnsi="Arial"/>
          <w:sz w:val="17"/>
          <w:szCs w:val="17"/>
          <w:color w:val="auto"/>
        </w:rPr>
        <w:t>. No purported sale, assignment, mortgage, hypothecation, transfer, pledge, encumbrance, gift, transfer in trust (voting or other) or other disposition of, or creation of a security interest in or lien on, any of the Restricted Stock Units by any holder thereof in violation of the provisions of this Agreement or the Certificate of Incorporation or the Bylaws of the Company, will be valid, and the Company will not transfer any shares resulting from the settlement of Restricted Stock Units on its books nor will any of such shares be entitled to vote, nor will any dividends be paid thereon, unless and until there has been full compliance with such provisions to the satisfaction of the Company. The foregoing restrictions are in addition to and not in lieu of any other remedies, legal or equitable, available to enforce such provisions.</w:t>
      </w:r>
    </w:p>
    <w:p>
      <w:pPr>
        <w:spacing w:after="0" w:line="177" w:lineRule="exact"/>
        <w:rPr>
          <w:rFonts w:ascii="Arial" w:cs="Arial" w:eastAsia="Arial" w:hAnsi="Arial"/>
          <w:sz w:val="17"/>
          <w:szCs w:val="17"/>
          <w:color w:val="auto"/>
        </w:rPr>
      </w:pPr>
    </w:p>
    <w:p>
      <w:pPr>
        <w:ind w:right="20" w:firstLine="449"/>
        <w:spacing w:after="0" w:line="277" w:lineRule="auto"/>
        <w:tabs>
          <w:tab w:leader="none" w:pos="62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The Grantee shall not possess the right to vote the shares underlying the Restricted Stock Units until the Restricted Stock Units have settled in accordance with the provisions of this Agreement and the Plan.</w:t>
      </w:r>
    </w:p>
    <w:p>
      <w:pPr>
        <w:spacing w:after="0" w:line="170" w:lineRule="exact"/>
        <w:rPr>
          <w:rFonts w:ascii="Arial" w:cs="Arial" w:eastAsia="Arial" w:hAnsi="Arial"/>
          <w:sz w:val="18"/>
          <w:szCs w:val="18"/>
          <w:color w:val="auto"/>
        </w:rPr>
      </w:pPr>
    </w:p>
    <w:p>
      <w:pPr>
        <w:ind w:right="20" w:firstLine="449"/>
        <w:spacing w:after="0" w:line="277" w:lineRule="auto"/>
        <w:tabs>
          <w:tab w:leader="none" w:pos="62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Survival of Terms</w:t>
      </w:r>
      <w:r>
        <w:rPr>
          <w:rFonts w:ascii="Arial" w:cs="Arial" w:eastAsia="Arial" w:hAnsi="Arial"/>
          <w:sz w:val="18"/>
          <w:szCs w:val="18"/>
          <w:color w:val="auto"/>
        </w:rPr>
        <w:t>. This Agreement shall apply to and bind the Grantee and the Company and their respective permitted assignees and transferees, heirs, legatees, executors, administrators and legal successors.</w:t>
      </w:r>
    </w:p>
    <w:p>
      <w:pPr>
        <w:spacing w:after="0" w:line="170" w:lineRule="exact"/>
        <w:rPr>
          <w:rFonts w:ascii="Arial" w:cs="Arial" w:eastAsia="Arial" w:hAnsi="Arial"/>
          <w:sz w:val="18"/>
          <w:szCs w:val="18"/>
          <w:color w:val="auto"/>
        </w:rPr>
      </w:pPr>
    </w:p>
    <w:p>
      <w:pPr>
        <w:ind w:firstLine="449"/>
        <w:spacing w:after="0" w:line="286" w:lineRule="auto"/>
        <w:tabs>
          <w:tab w:leader="none" w:pos="621"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provided for herein shall be in writing and shall be delivered by hand or sent by certified or registered mail, return receipt requested, postage prepaid, addressed, if to the Grantee, to the Grantee’s attention at the mailing address as the Grantee shall have specified to the Company in writing and, if to the Company, to the Company’s office at 1 Lands’ End Lane, Dodgeville, Wisconsin 53595, Attention: General Counsel (or to such other address as the Company shall have specified to the Grantee in writing). All such notices shall be conclusively deemed to</w:t>
      </w:r>
    </w:p>
    <w:p>
      <w:pPr>
        <w:spacing w:after="0" w:line="1" w:lineRule="exact"/>
        <w:rPr>
          <w:sz w:val="20"/>
          <w:szCs w:val="20"/>
          <w:color w:val="auto"/>
        </w:rPr>
      </w:pPr>
    </w:p>
    <w:p>
      <w:pPr>
        <w:ind w:right="340"/>
        <w:spacing w:after="0" w:line="209" w:lineRule="auto"/>
        <w:rPr>
          <w:sz w:val="20"/>
          <w:szCs w:val="20"/>
          <w:color w:val="auto"/>
        </w:rPr>
      </w:pPr>
      <w:r>
        <w:rPr>
          <w:rFonts w:ascii="Arial" w:cs="Arial" w:eastAsia="Arial" w:hAnsi="Arial"/>
          <w:sz w:val="18"/>
          <w:szCs w:val="18"/>
          <w:color w:val="auto"/>
        </w:rPr>
        <w:t>be received and shall be effective, if sent by hand delivery, upon receipt, or if sent by registered or certified mail, on the fifth (5</w:t>
      </w:r>
      <w:r>
        <w:rPr>
          <w:rFonts w:ascii="Arial" w:cs="Arial" w:eastAsia="Arial" w:hAnsi="Arial"/>
          <w:sz w:val="29"/>
          <w:szCs w:val="29"/>
          <w:color w:val="auto"/>
          <w:vertAlign w:val="superscript"/>
        </w:rPr>
        <w:t>th</w:t>
      </w:r>
      <w:r>
        <w:rPr>
          <w:rFonts w:ascii="Arial" w:cs="Arial" w:eastAsia="Arial" w:hAnsi="Arial"/>
          <w:sz w:val="18"/>
          <w:szCs w:val="18"/>
          <w:color w:val="auto"/>
        </w:rPr>
        <w:t>) day after the day on which such notice is mailed.</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21" w:name="page22"/>
    <w:bookmarkEnd w:id="21"/>
    <w:p>
      <w:pPr>
        <w:ind w:left="-20" w:right="260" w:firstLine="449"/>
        <w:spacing w:after="0" w:line="308" w:lineRule="auto"/>
        <w:tabs>
          <w:tab w:leader="none" w:pos="601"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46" w:lineRule="exact"/>
        <w:rPr>
          <w:rFonts w:ascii="Arial" w:cs="Arial" w:eastAsia="Arial" w:hAnsi="Arial"/>
          <w:sz w:val="17"/>
          <w:szCs w:val="17"/>
          <w:color w:val="auto"/>
        </w:rPr>
      </w:pPr>
    </w:p>
    <w:p>
      <w:pPr>
        <w:ind w:left="-20" w:right="180" w:firstLine="449"/>
        <w:spacing w:after="0" w:line="286" w:lineRule="auto"/>
        <w:tabs>
          <w:tab w:leader="none" w:pos="691"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Authority of the Administrator</w:t>
      </w:r>
      <w:r>
        <w:rPr>
          <w:rFonts w:ascii="Arial" w:cs="Arial" w:eastAsia="Arial" w:hAnsi="Arial"/>
          <w:sz w:val="17"/>
          <w:szCs w:val="17"/>
          <w:color w:val="auto"/>
        </w:rPr>
        <w:t>. The Committee shall have full authority to interpret and construe the terms of the Plan and this Agreement. The determination of the Committee as to any such matter of interpretation or construction shall be final, binding and conclusive. Notwithstanding the foregoing, any classification of employment termination shall be resolved in accordance with the terms of the Severance Agreement.</w:t>
      </w:r>
    </w:p>
    <w:p>
      <w:pPr>
        <w:spacing w:after="0" w:line="165" w:lineRule="exact"/>
        <w:rPr>
          <w:rFonts w:ascii="Arial" w:cs="Arial" w:eastAsia="Arial" w:hAnsi="Arial"/>
          <w:sz w:val="17"/>
          <w:szCs w:val="17"/>
          <w:color w:val="auto"/>
        </w:rPr>
      </w:pPr>
    </w:p>
    <w:p>
      <w:pPr>
        <w:ind w:left="-20" w:right="60" w:firstLine="453"/>
        <w:spacing w:after="0" w:line="259" w:lineRule="auto"/>
        <w:tabs>
          <w:tab w:leader="none" w:pos="68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The Grantee has reviewed with the Grantee’s own tax advisors the applicable tax (U.S., foreign, state, and local) consequences of the transactions contemplated by this Agreement. The Grantee is relying solely on such advisors and not on any statements or representations of the Company or any of its agents. The Grantee understands that the Grantee (and not the Company) shall be responsible for any tax liability that may arise as a result of the transactions contemplated by this Agreement.</w:t>
      </w:r>
    </w:p>
    <w:p>
      <w:pPr>
        <w:spacing w:after="0" w:line="186" w:lineRule="exact"/>
        <w:rPr>
          <w:rFonts w:ascii="Arial" w:cs="Arial" w:eastAsia="Arial" w:hAnsi="Arial"/>
          <w:sz w:val="18"/>
          <w:szCs w:val="18"/>
          <w:color w:val="auto"/>
        </w:rPr>
      </w:pPr>
    </w:p>
    <w:p>
      <w:pPr>
        <w:ind w:left="-20" w:firstLine="449"/>
        <w:spacing w:after="0" w:line="255" w:lineRule="auto"/>
        <w:tabs>
          <w:tab w:leader="none" w:pos="69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This Agreement and the Plan and the other related agreements expressly referred to herein set forth the entire agreement and understanding between the parties hereto and supersedes all prior agreements and understandings relating to the subject matter hereof. This Agreement may be executed in one or more counterparts, each of which shall be deemed to be an original, but all such counterparts shall together constitute one and the same agreement. The headings of sections and subsections herein are included solely for convenience of reference and shall not affect the meaning of any of the provisions of this Agreement. This Agreement shall be governed by, and construed in accordance with, the laws of the State of Wisconsin.</w:t>
      </w:r>
    </w:p>
    <w:p>
      <w:pPr>
        <w:spacing w:after="0" w:line="192" w:lineRule="exact"/>
        <w:rPr>
          <w:rFonts w:ascii="Arial" w:cs="Arial" w:eastAsia="Arial" w:hAnsi="Arial"/>
          <w:sz w:val="18"/>
          <w:szCs w:val="18"/>
          <w:color w:val="auto"/>
        </w:rPr>
      </w:pPr>
    </w:p>
    <w:p>
      <w:pPr>
        <w:ind w:left="-20" w:right="120" w:firstLine="449"/>
        <w:spacing w:after="0" w:line="301" w:lineRule="auto"/>
        <w:tabs>
          <w:tab w:leader="none" w:pos="691"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Clawback Policy</w:t>
      </w:r>
      <w:r>
        <w:rPr>
          <w:rFonts w:ascii="Arial" w:cs="Arial" w:eastAsia="Arial" w:hAnsi="Arial"/>
          <w:sz w:val="16"/>
          <w:szCs w:val="16"/>
          <w:color w:val="auto"/>
        </w:rPr>
        <w:t>. The Restricted Stock Units are subject to the terms of the Severance Agreement, and, to the extent required by applicable law, any Company recoupment, clawback, or similar policy related to financials as it may be in effect from time to time, any of which could, in certain circumstances, require repayment or forfeiture of the Restricted Stock Units or any Shares or other cash or property received with respect to the Restricted Stock Units (including any value received from a disposition of the Shares acquired upon vesting of the Restricted Stock Units).</w:t>
      </w:r>
    </w:p>
    <w:p>
      <w:pPr>
        <w:spacing w:after="0" w:line="157" w:lineRule="exact"/>
        <w:rPr>
          <w:rFonts w:ascii="Arial" w:cs="Arial" w:eastAsia="Arial" w:hAnsi="Arial"/>
          <w:sz w:val="16"/>
          <w:szCs w:val="16"/>
          <w:color w:val="auto"/>
        </w:rPr>
      </w:pPr>
    </w:p>
    <w:p>
      <w:pPr>
        <w:ind w:left="-20" w:right="100" w:firstLine="449"/>
        <w:spacing w:after="0" w:line="291" w:lineRule="auto"/>
        <w:tabs>
          <w:tab w:leader="none" w:pos="691"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Should any provision of this Agreement be held by a court of competent jurisdiction to be unenforceable, or enforceable only if modified, such holding shall not affect the validity of the remainder of this Agreement, the balance of which shall continue to be binding upon the parties hereto with any such modification (if any) to become a part hereof and treated as though contained in this original Agreement. Moreover, if one or more of the provisions contained in this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2" w:name="page23"/>
    <w:bookmarkEnd w:id="22"/>
    <w:p>
      <w:pPr>
        <w:ind w:right="420" w:firstLine="449"/>
        <w:spacing w:after="0" w:line="286" w:lineRule="auto"/>
        <w:tabs>
          <w:tab w:leader="none" w:pos="711"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Amendments; Construction</w:t>
      </w:r>
      <w:r>
        <w:rPr>
          <w:rFonts w:ascii="Arial" w:cs="Arial" w:eastAsia="Arial" w:hAnsi="Arial"/>
          <w:sz w:val="17"/>
          <w:szCs w:val="17"/>
          <w:color w:val="auto"/>
        </w:rPr>
        <w:t>. The Committee may amend the terms of this Agreement prospectively or retroactively at any time, but no such amendment shall impair the rights of the Grantee hereunder without the Grantee’s consent. Headings to Sections of this Agreement are intended for convenience of reference only, are not part of this Restricted Stock Units and shall have no effect on the interpretation hereof.</w:t>
      </w:r>
    </w:p>
    <w:p>
      <w:pPr>
        <w:spacing w:after="0" w:line="165" w:lineRule="exact"/>
        <w:rPr>
          <w:rFonts w:ascii="Arial" w:cs="Arial" w:eastAsia="Arial" w:hAnsi="Arial"/>
          <w:sz w:val="17"/>
          <w:szCs w:val="17"/>
          <w:color w:val="auto"/>
        </w:rPr>
      </w:pPr>
    </w:p>
    <w:p>
      <w:pPr>
        <w:jc w:val="both"/>
        <w:ind w:right="20" w:firstLine="494"/>
        <w:spacing w:after="0" w:line="311" w:lineRule="auto"/>
        <w:tabs>
          <w:tab w:leader="none" w:pos="756"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Acceptance</w:t>
      </w:r>
      <w:r>
        <w:rPr>
          <w:rFonts w:ascii="Arial" w:cs="Arial" w:eastAsia="Arial" w:hAnsi="Arial"/>
          <w:sz w:val="16"/>
          <w:szCs w:val="16"/>
          <w:color w:val="auto"/>
        </w:rPr>
        <w:t>. The Grantee hereby acknowledges receipt of a copy of the Plan and this Agreement. The Grantee has read and understand the terms and provision thereof, and accepts the shares of Restricted Stock Units subject to all the terms and conditions of the Plan and this Agreement. The Grantee hereby agrees to accept as binding, conclusive and final all decisions or interpretations of the Committee upon any questions arising under this Agreement.</w:t>
      </w:r>
    </w:p>
    <w:p>
      <w:pPr>
        <w:spacing w:after="0" w:line="149" w:lineRule="exact"/>
        <w:rPr>
          <w:sz w:val="20"/>
          <w:szCs w:val="20"/>
          <w:color w:val="auto"/>
        </w:rPr>
      </w:pPr>
    </w:p>
    <w:p>
      <w:pPr>
        <w:ind w:left="720" w:hanging="271"/>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firstLine="453"/>
        <w:spacing w:after="0" w:line="275" w:lineRule="auto"/>
        <w:tabs>
          <w:tab w:leader="none" w:pos="69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No Rights to Grants or Continued Employment</w:t>
      </w:r>
      <w:r>
        <w:rPr>
          <w:rFonts w:ascii="Arial" w:cs="Arial" w:eastAsia="Arial" w:hAnsi="Arial"/>
          <w:sz w:val="17"/>
          <w:szCs w:val="17"/>
          <w:color w:val="auto"/>
        </w:rPr>
        <w:t>. The Grantee acknowledges that the award granted under this Agreement is not an employment right, and is being granted at the sole discretion of the Committee. The Grantee shall not have any claim or right to receive grants of awards under the Plan. Neither the Plan nor this Agreement, nor any action taken or omitted to be taken hereunder or thereunder, shall be deemed to create or confer on the Grantee any right to be retained as an employee of the Company or any Subsidiary thereof, or to interfere with or to limit in any way the right of the Company or any Subsidiary thereof to terminate the employment of the Grantee at any time.</w:t>
      </w:r>
    </w:p>
    <w:p>
      <w:pPr>
        <w:spacing w:after="0" w:line="176" w:lineRule="exact"/>
        <w:rPr>
          <w:rFonts w:ascii="Arial" w:cs="Arial" w:eastAsia="Arial" w:hAnsi="Arial"/>
          <w:sz w:val="17"/>
          <w:szCs w:val="17"/>
          <w:color w:val="auto"/>
        </w:rPr>
      </w:pPr>
    </w:p>
    <w:p>
      <w:pPr>
        <w:ind w:right="40" w:firstLine="449"/>
        <w:spacing w:after="0" w:line="254"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Restriction on Right of Company to Effect Corporate Changes</w:t>
      </w:r>
      <w:r>
        <w:rPr>
          <w:rFonts w:ascii="Arial" w:cs="Arial" w:eastAsia="Arial" w:hAnsi="Arial"/>
          <w:sz w:val="18"/>
          <w:szCs w:val="18"/>
          <w:color w:val="auto"/>
        </w:rPr>
        <w:t>. Neither the Plan nor this Agreement shall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Shares or the rights thereof or which are convertible into or exchangeable for Shares, or the dissolution or liquidation of the Company, or any sale or transfer of all or any part of the assets or business of the Company, or any other corporate act or proceeding, whether of a similar character or otherwise. In such event, any adjustment shall be made in accordance with Section 12 of the Plan.</w:t>
      </w:r>
    </w:p>
    <w:p>
      <w:pPr>
        <w:spacing w:after="0" w:line="194" w:lineRule="exact"/>
        <w:rPr>
          <w:rFonts w:ascii="Arial" w:cs="Arial" w:eastAsia="Arial" w:hAnsi="Arial"/>
          <w:sz w:val="18"/>
          <w:szCs w:val="18"/>
          <w:color w:val="auto"/>
        </w:rPr>
      </w:pPr>
    </w:p>
    <w:p>
      <w:pPr>
        <w:ind w:left="740" w:hanging="291"/>
        <w:spacing w:after="0"/>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The Company shall have the right to assign any of its rights and to delegate any of its duties under this Agreement to any of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Affiliates.</w:t>
      </w:r>
    </w:p>
    <w:p>
      <w:pPr>
        <w:spacing w:after="0" w:line="211" w:lineRule="exact"/>
        <w:rPr>
          <w:sz w:val="20"/>
          <w:szCs w:val="20"/>
          <w:color w:val="auto"/>
        </w:rPr>
      </w:pPr>
    </w:p>
    <w:p>
      <w:pPr>
        <w:ind w:right="60" w:firstLine="449"/>
        <w:spacing w:after="0" w:line="259" w:lineRule="auto"/>
        <w:tabs>
          <w:tab w:leader="none" w:pos="71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Notwithstanding anything in this Agreement to the contrary, the receipt of any benefits under this Agreement is intended to be exempt from the provisions of Section 409A of the Internal Revenue Code of 1986, as amended (the “Code”) pursuant to the short term deferral exception. The Restricted Stock Units granted hereunder shall not be deferred, accelerated, extended, paid out or modified in a manner that would result in the application of Section 409A of the Code to such grants.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3" w:name="page24"/>
    <w:bookmarkEnd w:id="23"/>
    <w:p>
      <w:pPr>
        <w:ind w:firstLine="441"/>
        <w:spacing w:after="0" w:line="277" w:lineRule="auto"/>
        <w:rPr>
          <w:sz w:val="20"/>
          <w:szCs w:val="20"/>
          <w:color w:val="auto"/>
        </w:rPr>
      </w:pPr>
      <w:r>
        <w:rPr>
          <w:rFonts w:ascii="Arial" w:cs="Arial" w:eastAsia="Arial" w:hAnsi="Arial"/>
          <w:sz w:val="18"/>
          <w:szCs w:val="18"/>
          <w:color w:val="auto"/>
        </w:rPr>
        <w:t>THIS AGREEMENT SHALL BE NULL AND VOID AND UNENFORCEABLE BY THE GRANTEE UNLESS SIGNED AND DELIVERED TO THE COMPANY NOT LATER THAN FIVE (5) DAYS SUBSEQUENT TO THE ISSUANCE DATE.</w:t>
      </w:r>
    </w:p>
    <w:p>
      <w:pPr>
        <w:spacing w:after="0" w:line="170" w:lineRule="exact"/>
        <w:rPr>
          <w:sz w:val="20"/>
          <w:szCs w:val="20"/>
          <w:color w:val="auto"/>
        </w:rPr>
      </w:pPr>
    </w:p>
    <w:p>
      <w:pPr>
        <w:ind w:right="160" w:firstLine="1008"/>
        <w:spacing w:after="0" w:line="263" w:lineRule="auto"/>
        <w:rPr>
          <w:sz w:val="20"/>
          <w:szCs w:val="20"/>
          <w:color w:val="auto"/>
        </w:rPr>
      </w:pPr>
      <w:r>
        <w:rPr>
          <w:rFonts w:ascii="Arial" w:cs="Arial" w:eastAsia="Arial" w:hAnsi="Arial"/>
          <w:sz w:val="18"/>
          <w:szCs w:val="18"/>
          <w:color w:val="auto"/>
        </w:rPr>
        <w:t>BY SIGNING THIS AGREEMENT, THE GRANTEE IS HEREBY CONSENTING TO THE PROCESSING AND TRANSFER OF THE GRANTEE’S PERSONAL DATA BY THE COMPANY TO THE EXTENT NECESSARY TO ADMINISTER AND PROCESS THE AWARDS GRANTED UNDER THIS AGREEMENT.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24" w:name="page25"/>
    <w:bookmarkEnd w:id="24"/>
    <w:p>
      <w:pPr>
        <w:ind w:right="80" w:firstLine="441"/>
        <w:spacing w:after="0" w:line="277" w:lineRule="auto"/>
        <w:rPr>
          <w:sz w:val="20"/>
          <w:szCs w:val="20"/>
          <w:color w:val="auto"/>
        </w:rPr>
      </w:pPr>
      <w:r>
        <w:rPr>
          <w:rFonts w:ascii="Arial" w:cs="Arial" w:eastAsia="Arial" w:hAnsi="Arial"/>
          <w:sz w:val="18"/>
          <w:szCs w:val="18"/>
          <w:color w:val="auto"/>
        </w:rPr>
        <w:t>IN WITNESS WHEREOF, the Company and the Grantee have executed this Sign-On Restricted Stock Unit Agreement as of the date first above written.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LANDS’ END,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L.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Peter L. Gray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 Executive Vice President, Chief Administrative Officer and</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Counsel</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GRANTEE</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Andrew J.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Andrew J. McLean</w:t>
      </w: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908" w:right="61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80" w:type="dxa"/>
            <w:vAlign w:val="bottom"/>
            <w:gridSpan w:val="2"/>
          </w:tcPr>
          <w:p>
            <w:pPr>
              <w:ind w:left="640"/>
              <w:spacing w:after="0"/>
              <w:rPr>
                <w:sz w:val="20"/>
                <w:szCs w:val="20"/>
                <w:color w:val="auto"/>
              </w:rPr>
            </w:pPr>
            <w:r>
              <w:rPr>
                <w:rFonts w:ascii="Arial" w:cs="Arial" w:eastAsia="Arial" w:hAnsi="Arial"/>
                <w:sz w:val="18"/>
                <w:szCs w:val="18"/>
                <w:b w:val="1"/>
                <w:bCs w:val="1"/>
                <w:color w:val="auto"/>
                <w:w w:val="92"/>
              </w:rPr>
              <w:t>Exhibit 107.1</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20" w:type="dxa"/>
            <w:vAlign w:val="bottom"/>
            <w:gridSpan w:val="3"/>
          </w:tcPr>
          <w:p>
            <w:pPr>
              <w:ind w:left="180"/>
              <w:spacing w:after="0"/>
              <w:rPr>
                <w:sz w:val="20"/>
                <w:szCs w:val="20"/>
                <w:color w:val="auto"/>
              </w:rPr>
            </w:pPr>
            <w:r>
              <w:rPr>
                <w:rFonts w:ascii="Arial" w:cs="Arial" w:eastAsia="Arial" w:hAnsi="Arial"/>
                <w:sz w:val="18"/>
                <w:szCs w:val="18"/>
                <w:b w:val="1"/>
                <w:bCs w:val="1"/>
                <w:color w:val="auto"/>
              </w:rPr>
              <w:t>CALCULATION OF FILING FEE</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40" w:type="dxa"/>
            <w:vAlign w:val="bottom"/>
            <w:tcBorders>
              <w:lef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Security</w:t>
            </w:r>
          </w:p>
        </w:tc>
        <w:tc>
          <w:tcPr>
            <w:tcW w:w="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rPr>
              <w:t>Security</w:t>
            </w:r>
          </w:p>
        </w:tc>
        <w:tc>
          <w:tcPr>
            <w:tcW w:w="100" w:type="dxa"/>
            <w:vAlign w:val="bottom"/>
          </w:tcPr>
          <w:p>
            <w:pPr>
              <w:spacing w:after="0"/>
              <w:rPr>
                <w:sz w:val="16"/>
                <w:szCs w:val="16"/>
                <w:color w:val="auto"/>
              </w:rPr>
            </w:pPr>
          </w:p>
        </w:tc>
        <w:tc>
          <w:tcPr>
            <w:tcW w:w="1260" w:type="dxa"/>
            <w:vAlign w:val="bottom"/>
          </w:tcPr>
          <w:p>
            <w:pPr>
              <w:spacing w:after="0" w:line="191" w:lineRule="exact"/>
              <w:rPr>
                <w:sz w:val="20"/>
                <w:szCs w:val="20"/>
                <w:color w:val="auto"/>
              </w:rPr>
            </w:pPr>
            <w:r>
              <w:rPr>
                <w:rFonts w:ascii="Arial" w:cs="Arial" w:eastAsia="Arial" w:hAnsi="Arial"/>
                <w:sz w:val="18"/>
                <w:szCs w:val="18"/>
                <w:b w:val="1"/>
                <w:bCs w:val="1"/>
                <w:color w:val="auto"/>
              </w:rPr>
              <w:t>Amount</w:t>
            </w:r>
          </w:p>
        </w:tc>
        <w:tc>
          <w:tcPr>
            <w:tcW w:w="2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Proposed</w:t>
            </w:r>
          </w:p>
        </w:tc>
        <w:tc>
          <w:tcPr>
            <w:tcW w:w="224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Maximum</w:t>
            </w:r>
          </w:p>
        </w:tc>
        <w:tc>
          <w:tcPr>
            <w:tcW w:w="158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Fee Rate</w:t>
            </w:r>
          </w:p>
        </w:tc>
        <w:tc>
          <w:tcPr>
            <w:tcW w:w="166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rPr>
              <w:t>Amount of</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Type</w:t>
            </w:r>
          </w:p>
        </w:tc>
        <w:tc>
          <w:tcPr>
            <w:tcW w:w="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Class Title</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Registered (1)</w:t>
            </w:r>
          </w:p>
        </w:tc>
        <w:tc>
          <w:tcPr>
            <w:tcW w:w="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Maximum</w:t>
            </w: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Aggregate</w:t>
            </w:r>
          </w:p>
        </w:tc>
        <w:tc>
          <w:tcPr>
            <w:tcW w:w="15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Registration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Offering</w:t>
            </w: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Offering Price (2)</w:t>
            </w:r>
          </w:p>
        </w:tc>
        <w:tc>
          <w:tcPr>
            <w:tcW w:w="15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Fee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Price Per</w:t>
            </w:r>
          </w:p>
        </w:tc>
        <w:tc>
          <w:tcPr>
            <w:tcW w:w="22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Unit (2)</w:t>
            </w:r>
          </w:p>
        </w:tc>
        <w:tc>
          <w:tcPr>
            <w:tcW w:w="22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40" w:type="dxa"/>
            <w:vAlign w:val="bottom"/>
            <w:tcBorders>
              <w:left w:val="single" w:sz="8" w:color="auto"/>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Equity</w:t>
            </w:r>
          </w:p>
        </w:tc>
        <w:tc>
          <w:tcPr>
            <w:tcW w:w="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5"/>
              </w:rPr>
              <w:t>Common Stock,</w:t>
            </w:r>
          </w:p>
        </w:tc>
        <w:tc>
          <w:tcPr>
            <w:tcW w:w="100" w:type="dxa"/>
            <w:vAlign w:val="bottom"/>
          </w:tcPr>
          <w:p>
            <w:pPr>
              <w:spacing w:after="0"/>
              <w:rPr>
                <w:sz w:val="16"/>
                <w:szCs w:val="16"/>
                <w:color w:val="auto"/>
              </w:rPr>
            </w:pPr>
          </w:p>
        </w:tc>
        <w:tc>
          <w:tcPr>
            <w:tcW w:w="1260" w:type="dxa"/>
            <w:vAlign w:val="bottom"/>
          </w:tcPr>
          <w:p>
            <w:pPr>
              <w:spacing w:after="0" w:line="195" w:lineRule="exact"/>
              <w:rPr>
                <w:sz w:val="20"/>
                <w:szCs w:val="20"/>
                <w:color w:val="auto"/>
              </w:rPr>
            </w:pPr>
            <w:r>
              <w:rPr>
                <w:rFonts w:ascii="Arial" w:cs="Arial" w:eastAsia="Arial" w:hAnsi="Arial"/>
                <w:sz w:val="18"/>
                <w:szCs w:val="18"/>
                <w:color w:val="auto"/>
              </w:rPr>
              <w:t>168,081(3)</w:t>
            </w:r>
          </w:p>
        </w:tc>
        <w:tc>
          <w:tcPr>
            <w:tcW w:w="2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$10.67</w:t>
            </w:r>
          </w:p>
        </w:tc>
        <w:tc>
          <w:tcPr>
            <w:tcW w:w="22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$1,793,424.27</w:t>
            </w:r>
          </w:p>
        </w:tc>
        <w:tc>
          <w:tcPr>
            <w:tcW w:w="15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0.00011020</w:t>
            </w:r>
          </w:p>
        </w:tc>
        <w:tc>
          <w:tcPr>
            <w:tcW w:w="16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$197.64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$0.01 par value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40" w:type="dxa"/>
            <w:vAlign w:val="bottom"/>
            <w:tcBorders>
              <w:left w:val="single" w:sz="8" w:color="auto"/>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Equity</w:t>
            </w:r>
          </w:p>
        </w:tc>
        <w:tc>
          <w:tcPr>
            <w:tcW w:w="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5"/>
              </w:rPr>
              <w:t>Common Stock,</w:t>
            </w:r>
          </w:p>
        </w:tc>
        <w:tc>
          <w:tcPr>
            <w:tcW w:w="100" w:type="dxa"/>
            <w:vAlign w:val="bottom"/>
          </w:tcPr>
          <w:p>
            <w:pPr>
              <w:spacing w:after="0"/>
              <w:rPr>
                <w:sz w:val="16"/>
                <w:szCs w:val="16"/>
                <w:color w:val="auto"/>
              </w:rPr>
            </w:pPr>
          </w:p>
        </w:tc>
        <w:tc>
          <w:tcPr>
            <w:tcW w:w="1260" w:type="dxa"/>
            <w:vAlign w:val="bottom"/>
          </w:tcPr>
          <w:p>
            <w:pPr>
              <w:spacing w:after="0" w:line="195" w:lineRule="exact"/>
              <w:rPr>
                <w:sz w:val="20"/>
                <w:szCs w:val="20"/>
                <w:color w:val="auto"/>
              </w:rPr>
            </w:pPr>
            <w:r>
              <w:rPr>
                <w:rFonts w:ascii="Arial" w:cs="Arial" w:eastAsia="Arial" w:hAnsi="Arial"/>
                <w:sz w:val="18"/>
                <w:szCs w:val="18"/>
                <w:color w:val="auto"/>
              </w:rPr>
              <w:t>115,633(4)</w:t>
            </w:r>
          </w:p>
        </w:tc>
        <w:tc>
          <w:tcPr>
            <w:tcW w:w="2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$10.67</w:t>
            </w:r>
          </w:p>
        </w:tc>
        <w:tc>
          <w:tcPr>
            <w:tcW w:w="22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$1,233,804.11</w:t>
            </w:r>
          </w:p>
        </w:tc>
        <w:tc>
          <w:tcPr>
            <w:tcW w:w="15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0.00011020</w:t>
            </w:r>
          </w:p>
        </w:tc>
        <w:tc>
          <w:tcPr>
            <w:tcW w:w="16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$135.97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$0.01 par value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40" w:type="dxa"/>
            <w:vAlign w:val="bottom"/>
            <w:tcBorders>
              <w:left w:val="single" w:sz="8" w:color="auto"/>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tcBorders>
            <w:gridSpan w:val="2"/>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tcBorders>
          </w:tcPr>
          <w:p>
            <w:pPr>
              <w:spacing w:after="0"/>
              <w:rPr>
                <w:sz w:val="19"/>
                <w:szCs w:val="19"/>
                <w:color w:val="auto"/>
              </w:rPr>
            </w:pPr>
          </w:p>
        </w:tc>
        <w:tc>
          <w:tcPr>
            <w:tcW w:w="3040" w:type="dxa"/>
            <w:vAlign w:val="bottom"/>
            <w:gridSpan w:val="4"/>
          </w:tcPr>
          <w:p>
            <w:pPr>
              <w:jc w:val="center"/>
              <w:ind w:right="630"/>
              <w:spacing w:after="0"/>
              <w:rPr>
                <w:sz w:val="20"/>
                <w:szCs w:val="20"/>
                <w:color w:val="auto"/>
              </w:rPr>
            </w:pPr>
            <w:r>
              <w:rPr>
                <w:rFonts w:ascii="Arial" w:cs="Arial" w:eastAsia="Arial" w:hAnsi="Arial"/>
                <w:sz w:val="18"/>
                <w:szCs w:val="18"/>
                <w:color w:val="auto"/>
                <w:w w:val="92"/>
              </w:rPr>
              <w:t>Total Offering Amounts</w:t>
            </w:r>
          </w:p>
        </w:tc>
        <w:tc>
          <w:tcPr>
            <w:tcW w:w="22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$3,027,228.38</w:t>
            </w:r>
          </w:p>
        </w:tc>
        <w:tc>
          <w:tcPr>
            <w:tcW w:w="15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$333.60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Total Fee Offsets</w:t>
            </w:r>
          </w:p>
        </w:tc>
        <w:tc>
          <w:tcPr>
            <w:tcW w:w="12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Net Fee Due</w:t>
            </w:r>
          </w:p>
        </w:tc>
        <w:tc>
          <w:tcPr>
            <w:tcW w:w="12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$3,027,228.38</w:t>
            </w:r>
          </w:p>
        </w:tc>
        <w:tc>
          <w:tcPr>
            <w:tcW w:w="15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$333.60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right="240" w:hanging="443"/>
        <w:spacing w:after="0" w:line="286" w:lineRule="auto"/>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This registration statement covers an aggregate of 283,714 shares of Lands’ End, Inc.’s common stock, $0.01 par value per share (“Common Stock”), that may be issued by the Registrant pursuant to the agreements described herein. Pursuant to Rule 416(a) under the Securities Act of 1933, as amended (the “Securities Act”), this registration statement also covers an indeterminate number of additional shares of Common Stock with respect to the shares registered herewith issuable as a result of stock splits, stock dividends or similar transactions.</w:t>
      </w:r>
    </w:p>
    <w:p>
      <w:pPr>
        <w:spacing w:after="0" w:line="1" w:lineRule="exact"/>
        <w:rPr>
          <w:rFonts w:ascii="Arial" w:cs="Arial" w:eastAsia="Arial" w:hAnsi="Arial"/>
          <w:sz w:val="16"/>
          <w:szCs w:val="16"/>
          <w:color w:val="auto"/>
        </w:rPr>
      </w:pPr>
    </w:p>
    <w:p>
      <w:pPr>
        <w:ind w:left="640" w:right="120" w:hanging="443"/>
        <w:spacing w:after="0" w:line="265"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Calculated solely for the purpose of determining the amount of registration fee due for this filing in accordance with Rule 457(c) and Rule 457(h) of the Securities Act. The proposed maximum offering price per share and the proposed maximum aggregate offering price are based upon the average of the high and low prices of Common Stock, as reported on The NASDAQ Stock Market on November 1, 2022.</w:t>
      </w:r>
    </w:p>
    <w:p>
      <w:pPr>
        <w:ind w:left="640" w:hanging="443"/>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shares of the Registrant’s common stock issuable pursuant to a nonqualified stock option.</w:t>
      </w:r>
    </w:p>
    <w:p>
      <w:pPr>
        <w:spacing w:after="0" w:line="9" w:lineRule="exact"/>
        <w:rPr>
          <w:rFonts w:ascii="Arial" w:cs="Arial" w:eastAsia="Arial" w:hAnsi="Arial"/>
          <w:sz w:val="18"/>
          <w:szCs w:val="18"/>
          <w:color w:val="auto"/>
        </w:rPr>
      </w:pPr>
    </w:p>
    <w:p>
      <w:pPr>
        <w:ind w:left="640" w:hanging="443"/>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shares of the Registrant’s common stock issuable upon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Letter"/>
      <w:start w:val="1"/>
    </w:lvl>
  </w:abstractNum>
  <w:abstractNum w:abstractNumId="1">
    <w:nsid w:val="1BEFD79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41A7C4C9"/>
    <w:multiLevelType w:val="hybridMultilevel"/>
    <w:lvl w:ilvl="0">
      <w:lvlJc w:val="left"/>
      <w:lvlText w:val="(%1)"/>
      <w:numFmt w:val="lowerRoman"/>
      <w:start w:val="3"/>
    </w:lvl>
  </w:abstractNum>
  <w:abstractNum w:abstractNumId="3">
    <w:nsid w:val="6B68079A"/>
    <w:multiLevelType w:val="hybridMultilevel"/>
    <w:lvl w:ilvl="0">
      <w:lvlJc w:val="left"/>
      <w:lvlText w:val="%1"/>
      <w:numFmt w:val="lowerLetter"/>
      <w:start w:val="1"/>
    </w:lvl>
    <w:lvl w:ilvl="1">
      <w:lvlJc w:val="left"/>
      <w:lvlText w:val="(%2)"/>
      <w:numFmt w:val="decimal"/>
      <w:start w:val="2"/>
    </w:lvl>
  </w:abstractNum>
  <w:abstractNum w:abstractNumId="4">
    <w:nsid w:val="4E6AFB66"/>
    <w:multiLevelType w:val="hybridMultilevel"/>
    <w:lvl w:ilvl="0">
      <w:lvlJc w:val="left"/>
      <w:lvlText w:val="(%1)"/>
      <w:numFmt w:val="lowerLetter"/>
      <w:start w:val="2"/>
    </w:lvl>
    <w:lvl w:ilvl="1">
      <w:lvlJc w:val="left"/>
      <w:lvlText w:val="%2"/>
      <w:numFmt w:val="decimal"/>
      <w:start w:val="1"/>
    </w:lvl>
  </w:abstractNum>
  <w:abstractNum w:abstractNumId="5">
    <w:nsid w:val="25E45D32"/>
    <w:multiLevelType w:val="hybridMultilevel"/>
    <w:lvl w:ilvl="0">
      <w:lvlJc w:val="left"/>
      <w:lvlText w:val="%1."/>
      <w:numFmt w:val="decimal"/>
      <w:start w:val="1"/>
    </w:lvl>
    <w:lvl w:ilvl="1">
      <w:lvlJc w:val="left"/>
      <w:lvlText w:val="(%2)"/>
      <w:numFmt w:val="lowerLetter"/>
      <w:start w:val="1"/>
    </w:lvl>
  </w:abstractNum>
  <w:abstractNum w:abstractNumId="6">
    <w:nsid w:val="519B500D"/>
    <w:multiLevelType w:val="hybridMultilevel"/>
    <w:lvl w:ilvl="0">
      <w:lvlJc w:val="left"/>
      <w:lvlText w:val="(%1)"/>
      <w:numFmt w:val="lowerLetter"/>
      <w:start w:val="2"/>
    </w:lvl>
    <w:lvl w:ilvl="1">
      <w:lvlJc w:val="left"/>
      <w:lvlText w:val="(%2)"/>
      <w:numFmt w:val="lowerLetter"/>
      <w:start w:val="9"/>
    </w:lvl>
  </w:abstractNum>
  <w:abstractNum w:abstractNumId="7">
    <w:nsid w:val="431BD7B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8">
    <w:nsid w:val="3F2DBA3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
    <w:nsid w:val="7C83E458"/>
    <w:multiLevelType w:val="hybridMultilevel"/>
    <w:lvl w:ilvl="0">
      <w:lvlJc w:val="left"/>
      <w:lvlText w:val="%1."/>
      <w:numFmt w:val="decimal"/>
      <w:start w:val="4"/>
    </w:lvl>
    <w:lvl w:ilvl="1">
      <w:lvlJc w:val="left"/>
      <w:lvlText w:val="(%2)"/>
      <w:numFmt w:val="lowerLetter"/>
      <w:start w:val="1"/>
    </w:lvl>
  </w:abstractNum>
  <w:abstractNum w:abstractNumId="10">
    <w:nsid w:val="257130A3"/>
    <w:multiLevelType w:val="hybridMultilevel"/>
    <w:lvl w:ilvl="0">
      <w:lvlJc w:val="left"/>
      <w:lvlText w:val="%1."/>
      <w:numFmt w:val="decimal"/>
      <w:start w:val="8"/>
    </w:lvl>
  </w:abstractNum>
  <w:abstractNum w:abstractNumId="11">
    <w:nsid w:val="62BBD95A"/>
    <w:multiLevelType w:val="hybridMultilevel"/>
    <w:lvl w:ilvl="0">
      <w:lvlJc w:val="left"/>
      <w:lvlText w:val="%1."/>
      <w:numFmt w:val="decimal"/>
      <w:start w:val="16"/>
    </w:lvl>
    <w:lvl w:ilvl="1">
      <w:lvlJc w:val="left"/>
      <w:lvlText w:val="(%2)"/>
      <w:numFmt w:val="lowerLetter"/>
      <w:start w:val="1"/>
    </w:lvl>
  </w:abstractNum>
  <w:abstractNum w:abstractNumId="12">
    <w:nsid w:val="436C6125"/>
    <w:multiLevelType w:val="hybridMultilevel"/>
    <w:lvl w:ilvl="0">
      <w:lvlJc w:val="left"/>
      <w:lvlText w:val="(%1)"/>
      <w:numFmt w:val="lowerLetter"/>
      <w:start w:val="3"/>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6">
    <w:nsid w:val="2443A85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7">
    <w:nsid w:val="2D1D5AE9"/>
    <w:multiLevelType w:val="hybridMultilevel"/>
    <w:lvl w:ilvl="0">
      <w:lvlJc w:val="left"/>
      <w:lvlText w:val="(%1)"/>
      <w:numFmt w:val="lowerRoman"/>
      <w:start w:val="2"/>
    </w:lvl>
  </w:abstractNum>
  <w:abstractNum w:abstractNumId="18">
    <w:nsid w:val="6763845E"/>
    <w:multiLevelType w:val="hybridMultilevel"/>
    <w:lvl w:ilvl="0">
      <w:lvlJc w:val="left"/>
      <w:lvlText w:val="(%1)"/>
      <w:numFmt w:val="lowerLetter"/>
      <w:start w:val="2"/>
    </w:lvl>
  </w:abstractNum>
  <w:abstractNum w:abstractNumId="19">
    <w:nsid w:val="75A2A8D4"/>
    <w:multiLevelType w:val="hybridMultilevel"/>
    <w:lvl w:ilvl="0">
      <w:lvlJc w:val="left"/>
      <w:lvlText w:val="%1."/>
      <w:numFmt w:val="decimal"/>
      <w:start w:val="4"/>
    </w:lvl>
    <w:lvl w:ilvl="1">
      <w:lvlJc w:val="left"/>
      <w:lvlText w:val="(%2)"/>
      <w:numFmt w:val="lowerLetter"/>
      <w:start w:val="1"/>
    </w:lvl>
  </w:abstractNum>
  <w:abstractNum w:abstractNumId="20">
    <w:nsid w:val="8EDBDAB"/>
    <w:multiLevelType w:val="hybridMultilevel"/>
    <w:lvl w:ilvl="0">
      <w:lvlJc w:val="left"/>
      <w:lvlText w:val="(%1)"/>
      <w:numFmt w:val="lowerLetter"/>
      <w:start w:val="2"/>
    </w:lvl>
  </w:abstractNum>
  <w:abstractNum w:abstractNumId="21">
    <w:nsid w:val="79838CB2"/>
    <w:multiLevelType w:val="hybridMultilevel"/>
    <w:lvl w:ilvl="0">
      <w:lvlJc w:val="left"/>
      <w:lvlText w:val="%1."/>
      <w:numFmt w:val="decimal"/>
      <w:start w:val="5"/>
    </w:lvl>
  </w:abstractNum>
  <w:abstractNum w:abstractNumId="22">
    <w:nsid w:val="4353D0CD"/>
    <w:multiLevelType w:val="hybridMultilevel"/>
    <w:lvl w:ilvl="0">
      <w:lvlJc w:val="left"/>
      <w:lvlText w:val="%1."/>
      <w:numFmt w:val="decimal"/>
      <w:start w:val="9"/>
    </w:lvl>
  </w:abstractNum>
  <w:abstractNum w:abstractNumId="23">
    <w:nsid w:val="B03E0C6"/>
    <w:multiLevelType w:val="hybridMultilevel"/>
    <w:lvl w:ilvl="0">
      <w:lvlJc w:val="left"/>
      <w:lvlText w:val="%1."/>
      <w:numFmt w:val="decimal"/>
      <w:start w:val="15"/>
    </w:lvl>
    <w:lvl w:ilvl="1">
      <w:lvlJc w:val="left"/>
      <w:lvlText w:val="%2."/>
      <w:numFmt w:val="decimal"/>
      <w:start w:val="16"/>
    </w:lvl>
  </w:abstractNum>
  <w:abstractNum w:abstractNumId="24">
    <w:nsid w:val="189A769B"/>
    <w:multiLevelType w:val="hybridMultilevel"/>
    <w:lvl w:ilvl="0">
      <w:lvlJc w:val="left"/>
      <w:lvlText w:val="%1."/>
      <w:numFmt w:val="decimal"/>
      <w:start w:val="17"/>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8"/>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14" Type="http://schemas.openxmlformats.org/officeDocument/2006/relationships/hyperlink" Target="https://www.sec.gov/ix?doc=/Archives/edgar/data/799288/000156459022011688/le-10k_20220128.htm" TargetMode="External"/><Relationship Id="rId15" Type="http://schemas.openxmlformats.org/officeDocument/2006/relationships/hyperlink" Target="https://www.sec.gov/ix?doc=/Archives/edgar/data/799288/000156459022022248/le-10q_20220429.htm" TargetMode="External"/><Relationship Id="rId16" Type="http://schemas.openxmlformats.org/officeDocument/2006/relationships/hyperlink" Target="https://www.sec.gov/ix?doc=/Archives/edgar/data/799288/000156459022030767/le-10q_20220729.htm" TargetMode="External"/><Relationship Id="rId17" Type="http://schemas.openxmlformats.org/officeDocument/2006/relationships/hyperlink" Target="https://www.sec.gov/ix?doc=/Archives/edgar/data/799288/000156459022024371/le-8k_20220628.htm" TargetMode="External"/><Relationship Id="rId18" Type="http://schemas.openxmlformats.org/officeDocument/2006/relationships/hyperlink" Target="https://www.sec.gov/ix?doc=/Archives/edgar/data/799288/000156459022025869/le-8k_20220712.htm" TargetMode="External"/><Relationship Id="rId19" Type="http://schemas.openxmlformats.org/officeDocument/2006/relationships/hyperlink" Target="https://www.sec.gov/ix?doc=/Archives/edgar/data/799288/000110465922099122/tm2225560d1_8k.htm" TargetMode="External"/><Relationship Id="rId20" Type="http://schemas.openxmlformats.org/officeDocument/2006/relationships/hyperlink" Target="https://www.sec.gov/Archives/edgar/data/799288/000156459022011688/le-ex47_241.htm" TargetMode="External"/><Relationship Id="rId24" Type="http://schemas.openxmlformats.org/officeDocument/2006/relationships/hyperlink" Target="https://www.sec.gov/Archives/edgar/data/799288/000156459022011688/le-ex31_240.htm" TargetMode="External"/><Relationship Id="rId25" Type="http://schemas.openxmlformats.org/officeDocument/2006/relationships/hyperlink" Target="https://www.sec.gov/Archives/edgar/data/799288/000119312514134340/d703946dex31.htm" TargetMode="External"/><Relationship Id="rId26" Type="http://schemas.openxmlformats.org/officeDocument/2006/relationships/hyperlink" Target="https://www.sec.gov/Archives/edgar/data/799288/000079928818000022/a20180202exhibit42.htm" TargetMode="External"/><Relationship Id="rId27" Type="http://schemas.openxmlformats.org/officeDocument/2006/relationships/hyperlink" Target="https://www.sec.gov/Archives/edgar/data/799288/000156459020012223/le-ex42_136.htm" TargetMode="External"/><Relationship Id="rId28" Type="http://schemas.openxmlformats.org/officeDocument/2006/relationships/hyperlink" Target="https://www.sec.gov/Archives/edgar/data/799288/000156459020043000/le-ex41_11.htm" TargetMode="External"/><Relationship Id="rId29" Type="http://schemas.openxmlformats.org/officeDocument/2006/relationships/hyperlink" Target="https://www.sec.gov/Archives/edgar/data/799288/000156459021040847/le-ex41_7.htm" TargetMode="External"/><Relationship Id="rId30" Type="http://schemas.openxmlformats.org/officeDocument/2006/relationships/hyperlink" Target="https://www.sec.gov/Archives/edgar/data/799288/000156459020043449/le-ex41_30.htm" TargetMode="External"/><Relationship Id="rId31" Type="http://schemas.openxmlformats.org/officeDocument/2006/relationships/hyperlink" Target="https://www.sec.gov/Archives/edgar/data/799288/000156459020043449/le-ex42_29.htm" TargetMode="External"/><Relationship Id="rId32" Type="http://schemas.openxmlformats.org/officeDocument/2006/relationships/hyperlink" Target="https://www.sec.gov/Archives/edgar/data/799288/000079928819000051/landsendinc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2022-11-04T15:23:26Z</dcterms:created>
  <dcterms:modified xsi:type="dcterms:W3CDTF">2022-11-04T15:23:26Z</dcterms:modified>
</cp:coreProperties>
</file>