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71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7143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6"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Christopher Martin D.</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 LANDS' END LANE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LANDS' END,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44"/>
        <w:spacing w:after="0"/>
        <w:rPr>
          <w:sz w:val="20"/>
          <w:szCs w:val="20"/>
          <w:color w:val="auto"/>
        </w:rPr>
      </w:pPr>
      <w:r>
        <w:rPr>
          <w:rFonts w:ascii="Times New Roman" w:cs="Times New Roman" w:eastAsia="Times New Roman" w:hAnsi="Times New Roman"/>
          <w:sz w:val="17"/>
          <w:szCs w:val="17"/>
          <w:color w:val="0000FF"/>
        </w:rPr>
        <w:t>EVP, Chief Technology Officer</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146"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6"/>
            <w:vMerge w:val="restart"/>
          </w:tcPr>
          <w:p>
            <w:pPr>
              <w:jc w:val="center"/>
              <w:ind w:right="134"/>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6"/>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DODGEVILLE  WI</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53595</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jc w:val="center"/>
              <w:ind w:right="34"/>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530</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0"/>
                <w:vertAlign w:val="subscript"/>
              </w:rPr>
              <w:t>$</w:t>
            </w:r>
            <w:r>
              <w:rPr>
                <w:rFonts w:ascii="Times New Roman" w:cs="Times New Roman" w:eastAsia="Times New Roman" w:hAnsi="Times New Roman"/>
                <w:sz w:val="33"/>
                <w:szCs w:val="33"/>
                <w:color w:val="0000FF"/>
                <w:w w:val="80"/>
                <w:vertAlign w:val="subscript"/>
              </w:rPr>
              <w:t>45</w:t>
            </w:r>
            <w:r>
              <w:rPr>
                <w:rFonts w:ascii="Times New Roman" w:cs="Times New Roman" w:eastAsia="Times New Roman" w:hAnsi="Times New Roman"/>
                <w:sz w:val="11"/>
                <w:szCs w:val="11"/>
                <w:color w:val="008000"/>
                <w:w w:val="80"/>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6,444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center"/>
              <w:ind w:left="73"/>
              <w:spacing w:after="0"/>
              <w:rPr>
                <w:sz w:val="20"/>
                <w:szCs w:val="20"/>
                <w:color w:val="auto"/>
              </w:rPr>
            </w:pPr>
            <w:r>
              <w:rPr>
                <w:rFonts w:ascii="Times New Roman" w:cs="Times New Roman" w:eastAsia="Times New Roman" w:hAnsi="Times New Roman"/>
                <w:sz w:val="17"/>
                <w:szCs w:val="17"/>
                <w:color w:val="0000FF"/>
                <w:w w:val="93"/>
              </w:rPr>
              <w:t>5,106</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line="305"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11,550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1,634</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9,916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13,150</w:t>
            </w:r>
            <w:r>
              <w:rPr>
                <w:rFonts w:ascii="Times New Roman" w:cs="Times New Roman" w:eastAsia="Times New Roman" w:hAnsi="Times New Roman"/>
                <w:sz w:val="21"/>
                <w:szCs w:val="21"/>
                <w:color w:val="008000"/>
                <w:w w:val="91"/>
                <w:vertAlign w:val="superscript"/>
              </w:rPr>
              <w:t>(4)</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34"/>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23,066</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04/01/2026</w:t>
            </w:r>
          </w:p>
        </w:tc>
        <w:tc>
          <w:tcPr>
            <w:tcW w:w="6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w w:val="82"/>
              </w:rPr>
              <w:t>F</w:t>
            </w:r>
          </w:p>
        </w:tc>
        <w:tc>
          <w:tcPr>
            <w:tcW w:w="74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1"/>
              </w:rPr>
              <w:t>4,208</w:t>
            </w:r>
            <w:r>
              <w:rPr>
                <w:rFonts w:ascii="Times New Roman" w:cs="Times New Roman" w:eastAsia="Times New Roman" w:hAnsi="Times New Roman"/>
                <w:sz w:val="21"/>
                <w:szCs w:val="21"/>
                <w:color w:val="008000"/>
                <w:w w:val="91"/>
                <w:vertAlign w:val="superscript"/>
              </w:rPr>
              <w:t>(2)</w:t>
            </w:r>
          </w:p>
        </w:tc>
        <w:tc>
          <w:tcPr>
            <w:tcW w:w="6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11.56</w:t>
            </w: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18,858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 3,</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4 and 5)</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ind w:right="33"/>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4"/>
              <w:spacing w:after="0"/>
              <w:rPr>
                <w:sz w:val="20"/>
                <w:szCs w:val="20"/>
                <w:color w:val="auto"/>
              </w:rPr>
            </w:pPr>
            <w:r>
              <w:rPr>
                <w:rFonts w:ascii="Times New Roman" w:cs="Times New Roman" w:eastAsia="Times New Roman" w:hAnsi="Times New Roman"/>
                <w:sz w:val="17"/>
                <w:szCs w:val="17"/>
                <w:color w:val="0000FF"/>
              </w:rPr>
              <w:t>5,106</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5"/>
                <w:szCs w:val="5"/>
                <w:color w:val="auto"/>
              </w:rPr>
            </w:pPr>
          </w:p>
        </w:tc>
        <w:tc>
          <w:tcPr>
            <w:tcW w:w="44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5,106</w:t>
            </w:r>
          </w:p>
        </w:tc>
        <w:tc>
          <w:tcPr>
            <w:tcW w:w="7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50,266</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26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13,150</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jc w:val="center"/>
              <w:ind w:right="123"/>
              <w:spacing w:after="0"/>
              <w:rPr>
                <w:sz w:val="20"/>
                <w:szCs w:val="20"/>
                <w:color w:val="auto"/>
              </w:rPr>
            </w:pPr>
            <w:r>
              <w:rPr>
                <w:rFonts w:ascii="Times New Roman" w:cs="Times New Roman" w:eastAsia="Times New Roman" w:hAnsi="Times New Roman"/>
                <w:sz w:val="13"/>
                <w:szCs w:val="13"/>
                <w:color w:val="0000FF"/>
              </w:rPr>
              <w:t>63,416</w:t>
            </w:r>
            <w:r>
              <w:rPr>
                <w:rFonts w:ascii="Times New Roman" w:cs="Times New Roman" w:eastAsia="Times New Roman" w:hAnsi="Times New Roman"/>
                <w:sz w:val="21"/>
                <w:szCs w:val="21"/>
                <w:color w:val="008000"/>
                <w:vertAlign w:val="superscript"/>
              </w:rPr>
              <w:t>(7)</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56"/>
              <w:spacing w:after="0" w:line="141" w:lineRule="exact"/>
              <w:rPr>
                <w:sz w:val="20"/>
                <w:szCs w:val="20"/>
                <w:color w:val="auto"/>
              </w:rPr>
            </w:pPr>
            <w:r>
              <w:rPr>
                <w:rFonts w:ascii="Times New Roman" w:cs="Times New Roman" w:eastAsia="Times New Roman" w:hAnsi="Times New Roman"/>
                <w:sz w:val="13"/>
                <w:szCs w:val="13"/>
                <w:color w:val="0000FF"/>
              </w:rPr>
              <w:t>04/01/2026</w:t>
            </w: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13,150</w:t>
            </w:r>
          </w:p>
        </w:tc>
        <w:tc>
          <w:tcPr>
            <w:tcW w:w="4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12"/>
                <w:szCs w:val="12"/>
                <w:color w:val="auto"/>
              </w:rPr>
            </w:pP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jc w:val="center"/>
              <w:ind w:right="54"/>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-2176145</wp:posOffset>
            </wp:positionV>
            <wp:extent cx="29210" cy="2181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812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common stock upon satisfaction of the vesting conditions.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the issuer to satisfy reporting person's tax withholding obligation incurred in connection with the vesting of RSUs.</w:t>
      </w:r>
    </w:p>
    <w:p>
      <w:pPr>
        <w:spacing w:after="0" w:line="41" w:lineRule="exact"/>
        <w:rPr>
          <w:rFonts w:ascii="Times New Roman" w:cs="Times New Roman" w:eastAsia="Times New Roman" w:hAnsi="Times New Roman"/>
          <w:sz w:val="13"/>
          <w:szCs w:val="13"/>
          <w:color w:val="008000"/>
        </w:rPr>
      </w:pPr>
    </w:p>
    <w:p>
      <w:pPr>
        <w:ind w:left="40" w:right="380"/>
        <w:spacing w:after="0" w:line="288"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sold pursuant to the tender offer by LEWHP, LLC, a wholly owned indirect subsidiary of WH Topco, L.P., to purchase up to 2,222,222 of the outstanding shares of common stock of the Registrant, in exchange for $45.00 per share in cash, upon the terms and subject to the conditions set forth in the Offer to Purchase, dated February 26, 2026 (as amended), and the related Letter of Transmittal.</w:t>
      </w:r>
    </w:p>
    <w:p>
      <w:pPr>
        <w:ind w:left="40" w:right="18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issued upon the April 1, 2026 closing (the "Closing") of the Membership Interest Purchase Agreement by and among the Registrant, Lands' End Direct Merchants, Inc., WH Borrower, LLC, WH Topco, L.P., and LEWHP LLC, dated January 26, 2026, pursuant to the performance-based RSUs awarded on April 4, 2025, as modified March 5, 2026 (the "Retention Award"). Pursuant to the terms of the Retention Award, fifty percent (50%) of the Retention Award vested upon the Closing, twenty-five percent (25%) will vest upon the one-year anniversary of the Closing and twenty-five percent (25%) will vest on December 31, 2027, subject in each case to the satisfaction of vesting conditions, including maintaining a continuous business relationship through the applicable vesting date.</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RSU award was granted on April 1, 2024, with vesting in three installments on April 1, 2025 (25%), April 1, 2026 (25%) and April 1, 2027 (50%).</w:t>
      </w:r>
    </w:p>
    <w:p>
      <w:pPr>
        <w:spacing w:after="0" w:line="41" w:lineRule="exact"/>
        <w:rPr>
          <w:rFonts w:ascii="Times New Roman" w:cs="Times New Roman" w:eastAsia="Times New Roman" w:hAnsi="Times New Roman"/>
          <w:sz w:val="13"/>
          <w:szCs w:val="13"/>
          <w:color w:val="008000"/>
        </w:rPr>
      </w:pPr>
    </w:p>
    <w:p>
      <w:pPr>
        <w:ind w:left="40" w:right="4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Retention Award 6,575 shares will vest on April 1, 2027 and 6,575 shares will vest on December 31, 2027, subject in each case to the satisfaction of vesting conditions, including maintaining a continuous business relationship through the applicable vesting date.</w:t>
      </w:r>
    </w:p>
    <w:p>
      <w:pPr>
        <w:spacing w:after="0" w:line="19"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Of the total number of RSUs, 10,212 shares will vest on April 1, 2027; 5,152 shares will vest on March 24, 2027 and 10,303 shares will vest on March 24, 2028; 6,149 shares will vest on March 23, 2027, 6,150 shares will vest on March 23, 2028 and 12,300 shares will vest on March 23, 2029; and 6,575 shares will vest on April 1, 2027 and 6,575 shares will vest on December 31, 2027, subject in each case to the satisfaction of vesting conditions, including maintaining a continuous business relationship through the applicable vesting date.</w:t>
      </w:r>
    </w:p>
    <w:p>
      <w:pPr>
        <w:ind w:left="6600"/>
        <w:spacing w:after="0" w:line="185" w:lineRule="auto"/>
        <w:rPr>
          <w:sz w:val="20"/>
          <w:szCs w:val="20"/>
          <w:color w:val="auto"/>
        </w:rPr>
      </w:pPr>
      <w:r>
        <w:rPr>
          <w:rFonts w:ascii="Times New Roman" w:cs="Times New Roman" w:eastAsia="Times New Roman" w:hAnsi="Times New Roman"/>
          <w:sz w:val="16"/>
          <w:szCs w:val="16"/>
          <w:color w:val="0000FF"/>
        </w:rPr>
        <w:t xml:space="preserve">/s/ Peter L. Gray as attorney-in- </w:t>
      </w:r>
      <w:r>
        <w:rPr>
          <w:rFonts w:ascii="Times New Roman" w:cs="Times New Roman" w:eastAsia="Times New Roman" w:hAnsi="Times New Roman"/>
          <w:sz w:val="31"/>
          <w:szCs w:val="31"/>
          <w:color w:val="0000FF"/>
          <w:vertAlign w:val="subscript"/>
        </w:rPr>
        <w:t>04/06/2026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Martin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11436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36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2645" TargetMode="External"/><Relationship Id="rId14" Type="http://schemas.openxmlformats.org/officeDocument/2006/relationships/hyperlink" Target="http://www.sec.gov/cgi-bin/browse-edgar?action=getcompany&amp;CIK=00007992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2026-04-06T16:04:52Z</dcterms:created>
  <dcterms:modified xsi:type="dcterms:W3CDTF">2026-04-06T16:04:52Z</dcterms:modified>
</cp:coreProperties>
</file>