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218d1_s8.htm"/>
      <w:bookmarkStart w:id="1" w:name="kstm2620218d1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7"/>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r>
      <w:r>
        <w:rPr>
          <w:rFonts w:ascii="Times New Roman;Times;Serif" w:hAnsi="Times New Roman;Times;Serif"/>
          <w:b/>
          <w:i/>
          <w:caps w:val="false"/>
          <w:smallCaps w:val="false"/>
          <w:sz w:val="20"/>
        </w:rPr>
        <w:t>UNDER</w:t>
        <w:b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Lands’ End,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4880"/>
        <w:gridCol w:w="2915"/>
      </w:tblGrid>
      <w:tr>
        <w:trPr/>
        <w:tc>
          <w:tcPr>
            <w:tcW w:w="48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Delaware</w:t>
              <w:br/>
            </w:r>
            <w:r>
              <w:rPr>
                <w:rFonts w:ascii="Times New Roman;Times;Serif" w:hAnsi="Times New Roman;Times;Serif"/>
                <w:sz w:val="20"/>
              </w:rPr>
              <w:t>(State or other jurisdiction of incorporation or organization)</w:t>
            </w:r>
          </w:p>
        </w:tc>
        <w:tc>
          <w:tcPr>
            <w:tcW w:w="29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36-2512786</w:t>
              <w:br/>
            </w: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215"/>
        <w:gridCol w:w="60"/>
        <w:gridCol w:w="875"/>
      </w:tblGrid>
      <w:tr>
        <w:trPr/>
        <w:tc>
          <w:tcPr>
            <w:tcW w:w="32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 Lands’ End Lane</w:t>
              <w:br/>
              <w:t>Dodgeville, Wisconsin</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53595</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Sign-On Nonqualified Stock Option Agreement by and between Lands’ End, Inc. and Charlie Cole</w:t>
        <w:br/>
        <w:t>Sign-On Restricted Stock Unit Agreement by and between Lands’ End, Inc. and Charlie Cole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Nathaniel T. Gaede</w:t>
        <w:br/>
        <w:t>Vice President, Deputy General Counsel</w:t>
        <w:br/>
        <w:t>5 Lands’ End Lane</w:t>
        <w:br/>
        <w:t>Dodgeville, Wisconsin 53595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(608) 935-9341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(the “Registration Statement”) filed by Lands’ End, Inc. (the “Company” or the “Registrant”) registers 275,379 shares of the Company’s common stock, par value $0.01 (the “Shares”), 166,018 of which may be issued pursuant to the Sign-On Nonqualified Stock Option Agreement dated July 13, 2026, by and between the Registrant and Charlie Cole, and 109,361 of which may be issued pursuant to the Sign-On Restricted Stock Unit Agreement dated July 13, 2026, by and between the Registrant and Charlie Cole (collectively, the “Awards”), each of which is intended to induce Charlie Cole with an incentive to become and remain an employee of the Company and increase his interest in the success of the Company. The grants thereunder are employment inducement grants as described in Rule 5635(c)(4) of the NASDAQ Stock Market Listing Rules. The Awards, although not granted pursuant to the Lands’ End, Inc. Amended and Restated 2017 Stock Plan (the “Plan”) are, except as expressly set forth in each Award, subject to the terms and provisions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428 under the Securities Act of 1933, as amended (the “Securities Act”), and the instructional note to Part I of Form S-8, this Registration Statement omits the information specified in Part I of Form S-8. The documents containing the information specified in Part I of Form S-8 will be sent or given to the employee as specified by Rule 428(b)(1) under the Securities Act. Such documents and the documents incorporated by reference in this Registration Statement pursuant to Item 3 of Part II of this Registration Statement, taken together, constitute a prospectus that meets the requirements of Section 10(a)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605"/>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b/>
                <w:sz w:val="20"/>
              </w:rPr>
            </w:pPr>
            <w:r>
              <w:rPr>
                <w:b/>
                <w:sz w:val="20"/>
              </w:rPr>
              <w:t>Item 3.</w:t>
            </w:r>
          </w:p>
        </w:tc>
        <w:tc>
          <w:tcPr>
            <w:tcW w:w="4370" w:type="dxa"/>
            <w:tcBorders/>
            <w:vAlign w:val="center"/>
          </w:tcPr>
          <w:p>
            <w:pPr>
              <w:pStyle w:val="TableContents"/>
              <w:bidi w:val="0"/>
              <w:spacing w:before="0" w:after="283"/>
              <w:jc w:val="left"/>
              <w:rPr>
                <w:b/>
              </w:rPr>
            </w:pPr>
            <w:r>
              <w:rPr>
                <w:b/>
              </w:rPr>
              <w:t>Incorporation of Documents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with the Securities and Exchange Commission (the “Commission”) by the Registrant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left"/>
              <w:rPr/>
            </w:pPr>
            <w:r>
              <w:rPr/>
              <w:t xml:space="preserve">the Registrant’s Annual Report on </w:t>
            </w:r>
            <w:hyperlink r:id="rId2">
              <w:r>
                <w:rPr>
                  <w:rStyle w:val="InternetLink"/>
                </w:rPr>
                <w:t>Form 10-K</w:t>
              </w:r>
            </w:hyperlink>
            <w:r>
              <w:rPr/>
              <w:t xml:space="preserve"> for the fiscal year ended January 30, 2026, filed with the Commission on March 26,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left"/>
              <w:rPr/>
            </w:pPr>
            <w:r>
              <w:rPr/>
              <w:t xml:space="preserve">the portions of the Registrant’s Definitive Proxy Statement on Schedule 14A filed on </w:t>
            </w:r>
            <w:hyperlink r:id="rId3">
              <w:r>
                <w:rPr>
                  <w:rStyle w:val="InternetLink"/>
                </w:rPr>
                <w:t>March 27, 2026</w:t>
              </w:r>
            </w:hyperlink>
            <w:r>
              <w:rPr/>
              <w:t>, that are incorporated by reference into Part III of the Registrant’s Annual Report on Form 10-K for the fiscal year ended January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(c)</w:t>
            </w:r>
          </w:p>
        </w:tc>
        <w:tc>
          <w:tcPr>
            <w:tcW w:w="9912" w:type="dxa"/>
            <w:tcBorders/>
            <w:vAlign w:val="center"/>
          </w:tcPr>
          <w:p>
            <w:pPr>
              <w:pStyle w:val="TableContents"/>
              <w:bidi w:val="0"/>
              <w:spacing w:before="0" w:after="283"/>
              <w:jc w:val="left"/>
              <w:rPr/>
            </w:pPr>
            <w:r>
              <w:rPr/>
              <w:t xml:space="preserve">the Registrant’s Quarterly Report on </w:t>
            </w:r>
            <w:hyperlink r:id="rId4">
              <w:r>
                <w:rPr>
                  <w:rStyle w:val="InternetLink"/>
                </w:rPr>
                <w:t>Form 10-Q</w:t>
              </w:r>
            </w:hyperlink>
            <w:r>
              <w:rPr/>
              <w:t xml:space="preserve"> for the quarterly period ended May 1, 2026, filed with the Commission on June 9,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left"/>
              <w:rPr/>
            </w:pPr>
            <w:r>
              <w:rPr/>
              <w:t xml:space="preserve">the Registrant’s Current Reports on Form 8-K filed with the Commission on </w:t>
            </w:r>
            <w:hyperlink r:id="rId5">
              <w:r>
                <w:rPr>
                  <w:rStyle w:val="InternetLink"/>
                </w:rPr>
                <w:t>March 11, 2026</w:t>
              </w:r>
            </w:hyperlink>
            <w:r>
              <w:rPr/>
              <w:t xml:space="preserve">, </w:t>
            </w:r>
            <w:hyperlink r:id="rId6">
              <w:r>
                <w:rPr>
                  <w:rStyle w:val="InternetLink"/>
                </w:rPr>
                <w:t>April 1, 2026</w:t>
              </w:r>
            </w:hyperlink>
            <w:r>
              <w:rPr/>
              <w:t xml:space="preserve"> (Film No. 26824897), </w:t>
            </w:r>
            <w:hyperlink r:id="rId7">
              <w:r>
                <w:rPr>
                  <w:rStyle w:val="InternetLink"/>
                </w:rPr>
                <w:t>April 1, 2026</w:t>
              </w:r>
            </w:hyperlink>
            <w:r>
              <w:rPr/>
              <w:t xml:space="preserve"> (Film No. 26825042), </w:t>
            </w:r>
            <w:hyperlink r:id="rId8">
              <w:r>
                <w:rPr>
                  <w:rStyle w:val="InternetLink"/>
                </w:rPr>
                <w:t>May 7, 2026</w:t>
              </w:r>
            </w:hyperlink>
            <w:r>
              <w:rPr/>
              <w:t xml:space="preserve">, </w:t>
            </w:r>
            <w:hyperlink r:id="rId9">
              <w:r>
                <w:rPr>
                  <w:rStyle w:val="InternetLink"/>
                </w:rPr>
                <w:t>June 30, 2026</w:t>
              </w:r>
            </w:hyperlink>
            <w:r>
              <w:rPr/>
              <w:t xml:space="preserve"> and </w:t>
            </w:r>
            <w:hyperlink r:id="rId10">
              <w:r>
                <w:rPr>
                  <w:rStyle w:val="InternetLink"/>
                </w:rPr>
                <w:t>July 10, 2026</w:t>
              </w:r>
            </w:hyperlink>
            <w:r>
              <w:rPr/>
              <w:t xml:space="preserve"> (other than any portions of those documents deemed to be furnished but not filed);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(e)</w:t>
            </w:r>
          </w:p>
        </w:tc>
        <w:tc>
          <w:tcPr>
            <w:tcW w:w="9938" w:type="dxa"/>
            <w:tcBorders/>
            <w:vAlign w:val="center"/>
          </w:tcPr>
          <w:p>
            <w:pPr>
              <w:pStyle w:val="TableContents"/>
              <w:bidi w:val="0"/>
              <w:spacing w:before="0" w:after="283"/>
              <w:jc w:val="left"/>
              <w:rPr/>
            </w:pPr>
            <w:r>
              <w:rPr/>
              <w:t>all other reports of the Registrant filed pursuant to Section 13(a) or 15(d) of the Securities Exchange Act of 1934, as amended (the “Exchange Act”), since the end of the fiscal year covered by the document referred to in clause (a) of this Item 3;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(f)</w:t>
            </w:r>
          </w:p>
        </w:tc>
        <w:tc>
          <w:tcPr>
            <w:tcW w:w="9972" w:type="dxa"/>
            <w:tcBorders/>
            <w:vAlign w:val="center"/>
          </w:tcPr>
          <w:p>
            <w:pPr>
              <w:pStyle w:val="TableContents"/>
              <w:bidi w:val="0"/>
              <w:spacing w:before="0" w:after="283"/>
              <w:jc w:val="left"/>
              <w:rPr/>
            </w:pPr>
            <w:r>
              <w:rPr/>
              <w:t>the description of the Company’s Common Stock incorporated by reference to </w:t>
            </w:r>
            <w:hyperlink r:id="rId11">
              <w:r>
                <w:rPr>
                  <w:rStyle w:val="InternetLink"/>
                </w:rPr>
                <w:t>Exhibit 4.9</w:t>
              </w:r>
            </w:hyperlink>
            <w:r>
              <w:rPr/>
              <w:t> of the Registrant’s Annual Report on Form 10-K for the fiscal year ended January 30, 2026, including any further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incorporated by reference into this Registration Statement may include, as exhibits, agreements between us and third parties that contain representations and warranties and other agreements and undertakings by us and third parties. These representations and warranties, agreements and undertakings have been made as of specific dates, may be subject to important qualifications and limitations agreed to by the parties to the agreements in connection with negotiating the terms of the agreements, and have been included in the agreements for the purpose of allocating risk between the parties to the agreements rather than to establish matters as facts. All such representations and warranties, agreements, and undertakings have been made solely for the benefit of the parties to the agreements and should not be relied upon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filed by the Registrant pursuant to Sections 13(a), 13(c), 14 and 15(d) of the Exchange Act (other than the portions of those documents not deemed to be filed) subsequent to the effective date of this Registration Statement, but prior to the filing of a post-effective amendment which indicates that all securities offered have been sold or which deregisters all securities then remaining unsold, shall be deemed to be incorporated by reference in the Registration Statement and to be part thereof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605"/>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b/>
                <w:sz w:val="20"/>
              </w:rPr>
            </w:pPr>
            <w:r>
              <w:rPr>
                <w:b/>
                <w:sz w:val="20"/>
              </w:rPr>
              <w:t>Item 4.</w:t>
            </w:r>
          </w:p>
        </w:tc>
        <w:tc>
          <w:tcPr>
            <w:tcW w:w="2555" w:type="dxa"/>
            <w:tcBorders/>
            <w:vAlign w:val="center"/>
          </w:tcPr>
          <w:p>
            <w:pPr>
              <w:pStyle w:val="TableContents"/>
              <w:bidi w:val="0"/>
              <w:spacing w:before="0" w:after="283"/>
              <w:jc w:val="left"/>
              <w:rPr>
                <w:b/>
              </w:rPr>
            </w:pPr>
            <w:r>
              <w:rPr>
                <w:b/>
              </w:rPr>
              <w:t>Description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605"/>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b/>
                <w:sz w:val="20"/>
              </w:rPr>
            </w:pPr>
            <w:r>
              <w:rPr>
                <w:b/>
                <w:sz w:val="20"/>
              </w:rPr>
              <w:t>Item 5.</w:t>
            </w:r>
          </w:p>
        </w:tc>
        <w:tc>
          <w:tcPr>
            <w:tcW w:w="4205" w:type="dxa"/>
            <w:tcBorders/>
            <w:vAlign w:val="center"/>
          </w:tcPr>
          <w:p>
            <w:pPr>
              <w:pStyle w:val="TableContents"/>
              <w:bidi w:val="0"/>
              <w:spacing w:before="0" w:after="283"/>
              <w:jc w:val="left"/>
              <w:rPr>
                <w:b/>
              </w:rPr>
            </w:pPr>
            <w:r>
              <w:rPr>
                <w:b/>
              </w:rPr>
              <w:t>Interests of Named Experts and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605"/>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b/>
                <w:sz w:val="20"/>
              </w:rPr>
            </w:pPr>
            <w:r>
              <w:rPr>
                <w:b/>
                <w:sz w:val="20"/>
              </w:rPr>
              <w:t>Item 6.</w:t>
            </w:r>
          </w:p>
        </w:tc>
        <w:tc>
          <w:tcPr>
            <w:tcW w:w="4265" w:type="dxa"/>
            <w:tcBorders/>
            <w:vAlign w:val="center"/>
          </w:tcPr>
          <w:p>
            <w:pPr>
              <w:pStyle w:val="TableContents"/>
              <w:bidi w:val="0"/>
              <w:spacing w:before="0" w:after="283"/>
              <w:jc w:val="left"/>
              <w:rPr>
                <w:b/>
              </w:rPr>
            </w:pPr>
            <w:r>
              <w:rPr>
                <w:b/>
              </w:rPr>
              <w:t>Indemnification of Directors and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General Corporation Law of the State of Delaware (the “DGCL”), a corporation may indemnify any person who was or is a party to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serving at the request of such corporation in such capacity for another corporation, partnership, joint venture, trust or other enterprise, against expenses (including attorneys’ fees), judgments, fines and amounts paid in settlement actually and reasonably incurred in connection with such action, suit or proceeding, if such person acted in good faith and in a manner he or she reasonably believed to be in or not opposed to the best interests of such corporation, and, with respect to any criminal action or proceeding, had no reasonable cause to believe his or her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also permits a corporation to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 present or former director or officer is successful in the defense of such an action, suit or proceeding, a corporation is required by the DGCL to indemnify such person for actual and reasonable expenses incurred thereby.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is ultimately determined that such person is not entitled to be so indemnified.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the indemnification described above shall not be deemed exclusive of other indemnification that may be granted by a corporation pursuant to its by-laws, disinterested directors’ vote, stockholders’ vote, and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also provides corporations with the power to purchase and maintain insurance on behalf of any person who is or was a director, officer, employee or agent of the corporation, or is or was serving at the request of the corporation in a similar capacity for another corporation, partnership, joint venture, trust or other enterprise, against any liability asserted against him or her and incurred by such person in any such capacity, or arising out of his or her status as such, whether or not the corporation would have the power to indemnify him or her against such liability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Amended and Restated Certificate of Incorporation of Lands’ End, Inc. (the “Certificate of Incorporation”) and the Second Amended and Restated Bylaws of Lands’ End, Inc. (the “Bylaws”) requires the Registrant to indemnify and hold harmless, to the fullest extent permitted by applicable law, any director or officer of the Registrant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or officer of the Registrant or, while a director or officer of the Registrant, is or was serving at the request of the Registrant as a director, officer, employee or agent of another corporation or of a partnership, joint venture, trust, enterprise or nonprofit entity, including service with respect to employee benefit plans (each, a “Proceeding”), against all liability, loss suffered and expenses (including attorney’s fees) reasonably incurred by such person. In general, the Registrant will indemnify such a director or officer who initiates an action, suit or proceeding only if such action, suit or proceeding was authorized by the board of directors of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Certificate of Incorporation and the Bylaws further requires the Registrant, to the extent not prohibited under applicable law, to pay the expenses (including attorneys’ fees) incurred by a director or officer of the Registrant in defending any Proceeding in advance of its final disposition; provided, however, that, to the extent required by law, such payment of expenses in advance of the final disposition of the Proceeding shall be made only upon receipt of an undertaking by such director or officer to repay all amounts advanced if it should be ultimately determined he or she is not entitled to be indemnified under the terms of the Certificate of Incorporation or the Bylaws, as the case may be,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Incorporation, a director of the Company is not liable to the Company or its stockholders for monetary damages for a breach of fiduciary duty as a director, except to the extent prohibited by the DGCL, which currently provides, with respect to directors, that such limitation of liability is prohibited if (i) such director has breached his or her duty of loyalty to the Company or its stockholders, (ii) such director’s acts or omissions are not in good faith or involve intentional misconduct or a knowing violation of law, (iii) such director derived an improper personal benefit from the transaction at issue, or (iv) required by Section 174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statements are subject to the detailed provisions of Sections 102(b)(7) and 145 of the DGCL and the full text of the Certificate of Incorporation and the Bylaws. The indemnification rights conferred by the Registrant are not exclusive of any other right to which persons seeking indemnification may be entitled under any statute, agreement or vote of stockholders or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directors’ and officers’ liability insurance for the benefit of its directors and officers in amounts that it believes are reasonable under the circumstances.</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605"/>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b/>
                <w:sz w:val="20"/>
              </w:rPr>
            </w:pPr>
            <w:r>
              <w:rPr>
                <w:b/>
                <w:sz w:val="20"/>
              </w:rPr>
              <w:t>Item 7.</w:t>
            </w:r>
          </w:p>
        </w:tc>
        <w:tc>
          <w:tcPr>
            <w:tcW w:w="3980" w:type="dxa"/>
            <w:tcBorders/>
            <w:vAlign w:val="center"/>
          </w:tcPr>
          <w:p>
            <w:pPr>
              <w:pStyle w:val="TableContents"/>
              <w:bidi w:val="0"/>
              <w:spacing w:before="0" w:after="283"/>
              <w:jc w:val="left"/>
              <w:rPr>
                <w:b/>
              </w:rPr>
            </w:pPr>
            <w:r>
              <w:rPr>
                <w:b/>
              </w:rPr>
              <w:t>Exemption from Registration Claimed.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60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b/>
                <w:sz w:val="20"/>
              </w:rPr>
            </w:pPr>
            <w:r>
              <w:rPr>
                <w:b/>
                <w:sz w:val="20"/>
              </w:rPr>
              <w:t>Item 8.</w:t>
            </w:r>
          </w:p>
        </w:tc>
        <w:tc>
          <w:tcPr>
            <w:tcW w:w="935" w:type="dxa"/>
            <w:tcBorders/>
            <w:vAlign w:val="center"/>
          </w:tcPr>
          <w:p>
            <w:pPr>
              <w:pStyle w:val="TableContents"/>
              <w:bidi w:val="0"/>
              <w:spacing w:before="0" w:after="283"/>
              <w:jc w:val="left"/>
              <w:rPr>
                <w:b/>
              </w:rPr>
            </w:pPr>
            <w:r>
              <w:rPr>
                <w:b/>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9420"/>
      </w:tblGrid>
      <w:tr>
        <w:trPr/>
        <w:tc>
          <w:tcPr>
            <w:tcW w:w="725" w:type="dxa"/>
            <w:tcBorders/>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w:t>
              <w:br/>
              <w:t>Number</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vAlign w:val="center"/>
          </w:tcPr>
          <w:p>
            <w:pPr>
              <w:pStyle w:val="TableContents"/>
              <w:bidi w:val="0"/>
              <w:spacing w:before="0" w:after="283"/>
              <w:jc w:val="left"/>
              <w:rPr/>
            </w:pPr>
            <w:hyperlink r:id="rId12">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13">
              <w:r>
                <w:rPr>
                  <w:rStyle w:val="InternetLink"/>
                  <w:rFonts w:ascii="Times New Roman;Times;Serif" w:hAnsi="Times New Roman;Times;Serif"/>
                  <w:sz w:val="20"/>
                </w:rPr>
                <w:t>Amended and Restated Certificate of Incorporation of Lands’ End, Inc. (incorporated by reference to Exhibit 3.1 to the Company’s Annual Report on Form 10-K filed on March 24, 2022 (File No. 001-09769)).</w:t>
              </w:r>
            </w:hyperlink>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14">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15">
              <w:r>
                <w:rPr>
                  <w:rStyle w:val="InternetLink"/>
                  <w:rFonts w:ascii="Times New Roman;Times;Serif" w:hAnsi="Times New Roman;Times;Serif"/>
                  <w:sz w:val="20"/>
                </w:rPr>
                <w:t>Second Amended and Restated Bylaws of Lands’ End, Inc. (incorporated by reference to Exhibit 3.1 to the Company’s Current Report on Form 8-K filed on September 23, 2024 (File No. 001-09769)).</w:t>
              </w:r>
            </w:hyperlink>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16">
              <w:r>
                <w:rPr>
                  <w:rStyle w:val="InternetLink"/>
                  <w:rFonts w:ascii="Times New Roman;Times;Serif" w:hAnsi="Times New Roman;Times;Serif"/>
                  <w:sz w:val="20"/>
                </w:rPr>
                <w:t>4.3</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17">
              <w:r>
                <w:rPr>
                  <w:rStyle w:val="InternetLink"/>
                  <w:rFonts w:ascii="Times New Roman;Times;Serif" w:hAnsi="Times New Roman;Times;Serif"/>
                  <w:sz w:val="20"/>
                </w:rPr>
                <w:t>Lands’ End, Inc. Amended and Restated 2017 Stock Plan (incorporated by reference to Exhibit 10.1 of the Current Report on Form 8-K filed by Lands’ End, Inc. on May 13, 2019 (File No. 001-09769)).</w:t>
              </w:r>
            </w:hyperlink>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620218d1_ex4-4.htm">
              <w:r>
                <w:rPr>
                  <w:rStyle w:val="InternetLink"/>
                  <w:rFonts w:ascii="Times New Roman;Times;Serif" w:hAnsi="Times New Roman;Times;Serif"/>
                  <w:sz w:val="20"/>
                </w:rPr>
                <w:t>4.4</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20218d1_ex4-4.htm">
              <w:r>
                <w:rPr>
                  <w:rStyle w:val="InternetLink"/>
                  <w:rFonts w:ascii="Times New Roman;Times;Serif" w:hAnsi="Times New Roman;Times;Serif"/>
                  <w:sz w:val="20"/>
                </w:rPr>
                <w:t>Sign-On Nonqualified Stock Option Agreement dated July 13, 2026, by and between Lands’ End, Inc. and Charlie Cole.*</w:t>
              </w:r>
            </w:hyperlink>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620218d1_ex4-5.htm">
              <w:r>
                <w:rPr>
                  <w:rStyle w:val="InternetLink"/>
                  <w:rFonts w:ascii="Times New Roman;Times;Serif" w:hAnsi="Times New Roman;Times;Serif"/>
                  <w:sz w:val="20"/>
                </w:rPr>
                <w:t>4.5</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20218d1_ex4-5.htm">
              <w:r>
                <w:rPr>
                  <w:rStyle w:val="InternetLink"/>
                  <w:rFonts w:ascii="Times New Roman;Times;Serif" w:hAnsi="Times New Roman;Times;Serif"/>
                  <w:sz w:val="20"/>
                </w:rPr>
                <w:t>Sign-On Restricted Stock Unit Agreement dated July 13, 2026, by and between Lands’ End, Inc. and Charlie Cole.*</w:t>
              </w:r>
            </w:hyperlink>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620218d1_ex5-1.htm">
              <w:r>
                <w:rPr>
                  <w:rStyle w:val="InternetLink"/>
                  <w:rFonts w:ascii="Times New Roman;Times;Serif" w:hAnsi="Times New Roman;Times;Serif"/>
                  <w:sz w:val="20"/>
                </w:rPr>
                <w:t>5.1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20218d1_ex5-1.htm">
              <w:r>
                <w:rPr>
                  <w:rStyle w:val="InternetLink"/>
                  <w:rFonts w:ascii="Times New Roman;Times;Serif" w:hAnsi="Times New Roman;Times;Serif"/>
                  <w:sz w:val="20"/>
                </w:rPr>
                <w:t>Opinion of Wachtell, Lipton, Rosen &amp; Katz.*</w:t>
              </w:r>
            </w:hyperlink>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620218d1_ex23-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20218d1_ex23-1.htm">
              <w:r>
                <w:rPr>
                  <w:rStyle w:val="InternetLink"/>
                  <w:rFonts w:ascii="Times New Roman;Times;Serif" w:hAnsi="Times New Roman;Times;Serif"/>
                  <w:sz w:val="20"/>
                </w:rPr>
                <w:t>Consent of Deloitte &amp; Touche LLP.*</w:t>
              </w:r>
            </w:hyperlink>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620218d1_ex5-1.htm">
              <w:r>
                <w:rPr>
                  <w:rStyle w:val="InternetLink"/>
                  <w:rFonts w:ascii="Times New Roman;Times;Serif" w:hAnsi="Times New Roman;Times;Serif"/>
                  <w:sz w:val="20"/>
                </w:rPr>
                <w:t>23.2</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20218d1_ex5-1.htm">
              <w:r>
                <w:rPr>
                  <w:rStyle w:val="InternetLink"/>
                  <w:rFonts w:ascii="Times New Roman;Times;Serif" w:hAnsi="Times New Roman;Times;Serif"/>
                  <w:sz w:val="20"/>
                </w:rPr>
                <w:t>Consent of Wachtell, Lipton, Rosen &amp; Katz (included in Exhibit 5.1).*</w:t>
              </w:r>
            </w:hyperlink>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signature page).*</w:t>
              </w:r>
            </w:hyperlink>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620218d1_ex-filingfees.htm">
              <w:r>
                <w:rPr>
                  <w:rStyle w:val="InternetLink"/>
                  <w:rFonts w:ascii="Times New Roman;Times;Serif" w:hAnsi="Times New Roman;Times;Serif"/>
                  <w:sz w:val="20"/>
                </w:rPr>
                <w:t>107.1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20218d1_ex-filingfees.htm">
              <w:r>
                <w:rPr>
                  <w:rStyle w:val="InternetLink"/>
                  <w:rFonts w:ascii="Times New Roman;Times;Serif" w:hAnsi="Times New Roman;Times;Serif"/>
                  <w:sz w:val="20"/>
                </w:rPr>
                <w:t>Filing Fee Table.*</w:t>
              </w:r>
            </w:hyperlink>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p>
      <w:pPr>
        <w:pStyle w:val="TextBody"/>
        <w:bidi w:val="0"/>
        <w:spacing w:before="0" w:after="0"/>
        <w:ind w:left="0" w:right="0" w:hanging="0"/>
        <w:jc w:val="left"/>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605"/>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b/>
                <w:sz w:val="20"/>
              </w:rPr>
            </w:pPr>
            <w:r>
              <w:rPr>
                <w:b/>
                <w:sz w:val="20"/>
              </w:rPr>
              <w:t>Item 9.</w:t>
            </w:r>
          </w:p>
        </w:tc>
        <w:tc>
          <w:tcPr>
            <w:tcW w:w="1490" w:type="dxa"/>
            <w:tcBorders/>
            <w:vAlign w:val="center"/>
          </w:tcPr>
          <w:p>
            <w:pPr>
              <w:pStyle w:val="TableContents"/>
              <w:bidi w:val="0"/>
              <w:spacing w:before="0" w:after="283"/>
              <w:jc w:val="left"/>
              <w:rPr>
                <w:b/>
              </w:rPr>
            </w:pPr>
            <w:r>
              <w:rPr>
                <w:b/>
              </w:rPr>
              <w:t>Undertakings.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Dodgeville, Wisconsin, on July 13, 2026.</w:t>
      </w:r>
    </w:p>
    <w:p>
      <w:pPr>
        <w:pStyle w:val="TextBody"/>
        <w:bidi w:val="0"/>
        <w:spacing w:before="0" w:after="0"/>
        <w:ind w:left="0" w:right="0" w:hanging="0"/>
        <w:jc w:val="left"/>
        <w:rPr>
          <w:caps w:val="false"/>
          <w:smallCaps w:val="false"/>
        </w:rPr>
      </w:pPr>
      <w:r>
        <w:rPr>
          <w:caps w:val="false"/>
          <w:smallCaps w:val="false"/>
        </w:rPr>
        <w:t> </w:t>
      </w:r>
    </w:p>
    <w:tbl>
      <w:tblPr>
        <w:tblW w:w="5105" w:type="dxa"/>
        <w:jc w:val="left"/>
        <w:tblInd w:w="0" w:type="dxa"/>
        <w:tblLayout w:type="fixed"/>
        <w:tblCellMar>
          <w:top w:w="0" w:type="dxa"/>
          <w:left w:w="0" w:type="dxa"/>
          <w:bottom w:w="0" w:type="dxa"/>
          <w:right w:w="0" w:type="dxa"/>
        </w:tblCellMar>
      </w:tblPr>
      <w:tblGrid>
        <w:gridCol w:w="75"/>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LANDS’ END,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Bernard McCracken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Bernard McCracken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does hereby constitute and appoint CHARLIE COLE, BERNARD L. MCCRACKEN and NATHANIEL T. GAEDE, and each of them, with full power of substitution, such person’s true and lawful attorneys-in-fact and agents for such person, with full power and authority to do any and all acts and things and to execute any and all instruments and amendments (including post-effective amendments)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with all exhibits thereto, and each of the undersigned hereby ratifies and confirms that all said attorneys and agents, or any one of them, shall do or cause to be done by virtue hereof. This Power of Attorney may be signed in several counterparts.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1910"/>
        <w:gridCol w:w="60"/>
        <w:gridCol w:w="5015"/>
        <w:gridCol w:w="60"/>
        <w:gridCol w:w="1145"/>
      </w:tblGrid>
      <w:tr>
        <w:trPr/>
        <w:tc>
          <w:tcPr>
            <w:tcW w:w="19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Charlie Cole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Charlie Cole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Bernard McCracken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Bernard McCracken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Josephine Linden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sz w:val="20"/>
              </w:rPr>
            </w:pPr>
            <w:r>
              <w:rPr>
                <w:sz w:val="20"/>
              </w:rPr>
              <w:t>Chair of the Board of Directors</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Josephine Linden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Galvin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Galvin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Gordon Hartogensis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tc>
      </w:tr>
      <w:tr>
        <w:trPr/>
        <w:tc>
          <w:tcPr>
            <w:tcW w:w="1910" w:type="dxa"/>
            <w:tcBorders/>
            <w:tcMar>
              <w:bottom w:w="0" w:type="dxa"/>
            </w:tcMar>
            <w:vAlign w:val="center"/>
          </w:tcPr>
          <w:p>
            <w:pPr>
              <w:pStyle w:val="TableContents"/>
              <w:bidi w:val="0"/>
              <w:spacing w:before="0" w:after="283"/>
              <w:jc w:val="left"/>
              <w:rPr>
                <w:sz w:val="20"/>
              </w:rPr>
            </w:pPr>
            <w:r>
              <w:rPr>
                <w:sz w:val="20"/>
              </w:rPr>
              <w:t>Gordon Hartogensis</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Elizabeth Leykum</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Leykum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T. McClain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T. McClain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19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Alicia Parker</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Alicia Parker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 w:name="tm2620218d1_ex4-4.htm"/>
      <w:bookmarkStart w:id="4" w:name="kstm2620218d1_ex44"/>
      <w:bookmarkEnd w:id="3"/>
      <w:bookmarkEnd w:id="4"/>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4.4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LANDS’ END,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AGREEMENT</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4775"/>
        <w:gridCol w:w="2810"/>
      </w:tblGrid>
      <w:tr>
        <w:trPr/>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Grantee: </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Charlie Cole</w:t>
            </w:r>
            <w:r>
              <w:rPr>
                <w:rFonts w:ascii="Times New Roman;Times;Serif" w:hAnsi="Times New Roman;Times;Serif"/>
                <w:b w:val="false"/>
                <w:i w:val="false"/>
                <w:caps w:val="false"/>
                <w:smallCaps w:val="false"/>
                <w:sz w:val="20"/>
              </w:rPr>
              <w:t>     (the “Grantee”)</w:t>
            </w:r>
          </w:p>
        </w:tc>
      </w:tr>
      <w:tr>
        <w:trPr/>
        <w:tc>
          <w:tcPr>
            <w:tcW w:w="4775"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 Nonqualified Stock Options:</w:t>
            </w:r>
          </w:p>
        </w:tc>
        <w:tc>
          <w:tcPr>
            <w:tcW w:w="2810" w:type="dxa"/>
            <w:tcBorders/>
            <w:vAlign w:val="center"/>
          </w:tcPr>
          <w:p>
            <w:pPr>
              <w:pStyle w:val="TableContents"/>
              <w:bidi w:val="0"/>
              <w:spacing w:before="0" w:after="283"/>
              <w:jc w:val="left"/>
              <w:rPr>
                <w:caps w:val="false"/>
                <w:smallCaps w:val="false"/>
                <w:u w:val="single"/>
              </w:rPr>
            </w:pPr>
            <w:r>
              <w:rPr>
                <w:caps w:val="false"/>
                <w:smallCaps w:val="false"/>
                <w:u w:val="single"/>
              </w:rPr>
              <w:t> </w:t>
            </w:r>
            <w:r>
              <w:rPr>
                <w:rFonts w:ascii="Times New Roman;Times;Serif" w:hAnsi="Times New Roman;Times;Serif"/>
                <w:b/>
                <w:i w:val="false"/>
                <w:caps w:val="false"/>
                <w:smallCaps w:val="false"/>
                <w:sz w:val="20"/>
                <w:u w:val="single"/>
              </w:rPr>
              <w:t>166,018</w:t>
            </w:r>
          </w:p>
        </w:tc>
      </w:tr>
      <w:tr>
        <w:trPr/>
        <w:tc>
          <w:tcPr>
            <w:tcW w:w="4775"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 Exercise Price of Nonqualified Stock Options:</w:t>
            </w:r>
          </w:p>
        </w:tc>
        <w:tc>
          <w:tcPr>
            <w:tcW w:w="281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$11.43</w:t>
            </w:r>
          </w:p>
        </w:tc>
      </w:tr>
      <w:tr>
        <w:trPr/>
        <w:tc>
          <w:tcPr>
            <w:tcW w:w="4775"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 </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July 13, 2026</w:t>
            </w:r>
            <w:r>
              <w:rPr>
                <w:rFonts w:ascii="Times New Roman;Times;Serif" w:hAnsi="Times New Roman;Times;Serif"/>
                <w:b w:val="false"/>
                <w:i w:val="false"/>
                <w:caps w:val="false"/>
                <w:smallCaps w:val="false"/>
                <w:sz w:val="20"/>
              </w:rPr>
              <w:t>     (the “Grant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Grantee is currently an employee of Lands’ End,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(i) induce the Grantee with an incentive to become and remain an employee of the Company and (ii) increase the Grantee’s interest in the success of the Company by granting nonqualified stock options (the “</w:t>
      </w:r>
      <w:r>
        <w:rPr>
          <w:rFonts w:ascii="Times New Roman;Times;Serif" w:hAnsi="Times New Roman;Times;Serif"/>
          <w:b w:val="false"/>
          <w:i w:val="false"/>
          <w:caps w:val="false"/>
          <w:smallCaps w:val="false"/>
          <w:sz w:val="20"/>
          <w:u w:val="single"/>
        </w:rPr>
        <w:t>Options</w:t>
      </w:r>
      <w:r>
        <w:rPr>
          <w:rFonts w:ascii="Times New Roman;Times;Serif" w:hAnsi="Times New Roman;Times;Serif"/>
          <w:b w:val="false"/>
          <w:i w:val="false"/>
          <w:caps w:val="false"/>
          <w:smallCaps w:val="false"/>
          <w:sz w:val="20"/>
        </w:rPr>
        <w:t>”) covering shares of common stock of the Company to the Grantee;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grant the Options, which grant is intended to constitute an employment inducement grant as described in Rule 5635(c)(4) of the NASDAQ Stock Market Listing Rules, pursuant to the terms of this Lands’ End, Inc. Sign-On Nonqualified Stock Option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promises, covenants and agreements set forth herein and other good and valuable consideration, the receipt and sufficiency of which are hereby acknowledged, the parties hereto do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 Incorporation of Plan Terms</w:t>
      </w:r>
      <w:r>
        <w:rPr>
          <w:rFonts w:ascii="Times New Roman;Times;Serif" w:hAnsi="Times New Roman;Times;Serif"/>
          <w:b w:val="false"/>
          <w:i w:val="false"/>
          <w:caps w:val="false"/>
          <w:smallCaps w:val="false"/>
          <w:sz w:val="20"/>
        </w:rPr>
        <w:t>. The Options, although not granted pursuant to the Lands’ End, Inc. Amended and Restated 2017 Stock Plan (the “Plan”) shall, except as expressly set forth in this Agreement, be subject to the terms and provisions of the Plan, which is incorporated herein by reference. The Grantee hereby acknowledges receipt of a copy of the Plan. All capitalized terms used but not defined herein have the definitions set forth in the Plan. The Company represents that the Options will be covered by a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Grant of Options</w:t>
      </w:r>
      <w:r>
        <w:rPr>
          <w:rFonts w:ascii="Times New Roman;Times;Serif" w:hAnsi="Times New Roman;Times;Serif"/>
          <w:b w:val="false"/>
          <w:i w:val="false"/>
          <w:caps w:val="false"/>
          <w:smallCaps w:val="false"/>
          <w:sz w:val="20"/>
        </w:rPr>
        <w:t>. Subject to the provisions of this Agreement and the Plan, the Company hereby grants to the Grantee the Options specified above. Each Option represents the right to purchase one (1) share of the Company’s common stock, par value $0.01 per share (each, a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at the Exercise Price (defined below). The Options are intended to be nonqualified stock options and will not be treated as incentive stock options under Section 422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Terms and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Share with respect to the Options shall be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11.43, which is the Fair Market Value of a Share on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Option Term</w:t>
      </w:r>
      <w:r>
        <w:rPr>
          <w:rFonts w:ascii="Times New Roman;Times;Serif" w:hAnsi="Times New Roman;Times;Serif"/>
          <w:b w:val="false"/>
          <w:i w:val="false"/>
          <w:caps w:val="false"/>
          <w:smallCaps w:val="false"/>
          <w:sz w:val="20"/>
        </w:rPr>
        <w:t>. Subject to earlier termination as provided herein, the Options shall expire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Grant Date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Vesting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the Options shall initially be unvested. All of the Options shall be subject to the following vesting schedule, and, except as otherwise provided in this Section 2(c), if the Grantee terminates employment for any reason prior to any given Vesting Date identified below, the Grantee shall forfeit any unvested Options upon such termination of employment.</w:t>
      </w:r>
    </w:p>
    <w:p>
      <w:pPr>
        <w:pStyle w:val="TextBody"/>
        <w:bidi w:val="0"/>
        <w:spacing w:before="0" w:after="0"/>
        <w:ind w:left="0" w:right="0" w:hanging="0"/>
        <w:jc w:val="left"/>
        <w:rPr>
          <w:caps w:val="false"/>
          <w:smallCaps w:val="false"/>
        </w:rPr>
      </w:pPr>
      <w:r>
        <w:rPr>
          <w:caps w:val="false"/>
          <w:smallCaps w:val="false"/>
        </w:rPr>
        <w:t> </w:t>
      </w:r>
    </w:p>
    <w:tbl>
      <w:tblPr>
        <w:tblW w:w="2425" w:type="dxa"/>
        <w:jc w:val="center"/>
        <w:tblInd w:w="0" w:type="dxa"/>
        <w:tblLayout w:type="fixed"/>
        <w:tblCellMar>
          <w:top w:w="0" w:type="dxa"/>
          <w:left w:w="0" w:type="dxa"/>
          <w:bottom w:w="28" w:type="dxa"/>
          <w:right w:w="0" w:type="dxa"/>
        </w:tblCellMar>
      </w:tblPr>
      <w:tblGrid>
        <w:gridCol w:w="1145"/>
        <w:gridCol w:w="60"/>
        <w:gridCol w:w="1220"/>
      </w:tblGrid>
      <w:tr>
        <w:trPr/>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Date</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Option Vested</w:t>
            </w:r>
          </w:p>
        </w:tc>
      </w:tr>
      <w:tr>
        <w:trPr/>
        <w:tc>
          <w:tcPr>
            <w:tcW w:w="11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p>
        </w:tc>
      </w:tr>
      <w:tr>
        <w:trPr/>
        <w:tc>
          <w:tcPr>
            <w:tcW w:w="11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p>
        </w:tc>
      </w:tr>
      <w:tr>
        <w:trPr/>
        <w:tc>
          <w:tcPr>
            <w:tcW w:w="11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Grantee’s employment is terminated by the Company for Cause (as defined in the Executive Severance Agreement by and between the Grantee and the Company, dated June 29, 2026 (the “Severance Agreement”)) or a resignation by the Grantee without Good Reason (as defined in the Severance Agreement), all of the unvested Options will be forfeited upon such separation from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Grantee’s employment is terminated by the Company without Cause or the Grantee resigns with Good Reason, any of the Options not previously vested that would have become vested within the 12 months following the date of such separation from service will become immediately vested upon such separation from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Grantee’s employment is terminated due to death or Disability (as defined in the Severance Agreement), any of the Options not previously vested will become immediately vested upon such separation from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Options (to the extent not otherwise forfeited) shall automatically terminate and shall become null and void, be unexercisable and be of no further force and effect upon the earliest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first anniversary of the date of the Grantee’s termination of employment due to death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ninetieth (90th) day following the Grantee’s termination of employment without Cause or due to the Grantee’s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date of the Grantee’s termination of employment in the case of a termination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 The Option may be exercised either for the total number of Shares vested, or for less than the total number of Shares subject to the vested Option. The Options may be exercised only by written notice delivered in accordance with, and payment of the Exercise Price may be made pursuant to any of the methods described in, Section 8.4(b) of the Plan. Upon receipt of notice of exercise and full payment of the aggregate consideration for the Shares in respect of which the Option is being exercised, the Company, or the Company’s agent, shall take such action as may be necessary to effect the transfer to the Grantee the number of Shares as to which the exercise was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Section 5(a) applies only to (i) all Grantees who are U.S. employees, and (ii) to those Grantees who are employed by a Subsidiary of the Company that is obligated under applicable local law to withhold taxes with respect to the exercise of the Options. The Grantee shall pay to the Company or a designated Subsidiary, promptly upon request, and in any event at the time the Grantee recognizes taxable income with respect to the Options, an amount equal to the taxes the Company determines it is required to withhold under applicable tax laws with respect to the Options. Consistent with the provisions set forth in Section 14.4 of the Plan, the Grantee may satisfy the foregoing requirement by making a payment to the Company in cash or by delivering already owned unrestricted Shares or by having the Company withhold a number of Shares in which the Grantee would otherwise be issued upon exercise of the Options, in each case, having a value equal to the minimum amount of tax required to be withheld. Such Shares shall be valued at Fair Market Value on the date as of which the amount of tax to be withheld is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Grantee acknowledges that the tax laws and regulations applicable to the Options and the disposition of the shares following the exercise of Options are complex and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Protections Against Violations of Agreement</w:t>
      </w:r>
      <w:r>
        <w:rPr>
          <w:rFonts w:ascii="Times New Roman;Times;Serif" w:hAnsi="Times New Roman;Times;Serif"/>
          <w:b w:val="false"/>
          <w:i w:val="false"/>
          <w:caps w:val="false"/>
          <w:smallCaps w:val="false"/>
          <w:sz w:val="20"/>
        </w:rPr>
        <w:t>. No purported sale, assignment, mortgage, hypothecation, transfer, pledge, encumbrance, gift, transfer in trust (voting or other) or other disposition of, or creation of a security interest in or lien on, any of the Options by any holder thereof in violation of the provisions of this Agreement or the Certificate of Incorporation or the Bylaws of the Company, will be valid, and the Company will not transfer any shares resulting from the exercise of any of the Options on its books nor will any of such shares be entitled to vote, nor will any dividends be paid thereon, unless and until there has been full compliance with such provisions to the satisfaction of the Company. The foregoing restrictions are in addition to and not in lieu of any other remedies, legal or equitable, available to enforce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 Rights as a Shareholder</w:t>
      </w:r>
      <w:r>
        <w:rPr>
          <w:rFonts w:ascii="Times New Roman;Times;Serif" w:hAnsi="Times New Roman;Times;Serif"/>
          <w:b w:val="false"/>
          <w:i w:val="false"/>
          <w:caps w:val="false"/>
          <w:smallCaps w:val="false"/>
          <w:sz w:val="20"/>
        </w:rPr>
        <w:t>. The Grantee has no right to receive or accrue any dividends or dividend equivalents with respect to the Options. The Grantee shall not possess the right to vote the shares underlying the Options until the Options have been exercised in accordance with the provisions of this Agreement and the Plan, the Grantee has paid the full aggregate Exercise Price for the number of Shares in respect of which the Option was exercised and made arrangements acceptable to the Company for the payment of applicable withholding taxes and the Company has issued and delivered the Shares to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Compliance with Legal Requirements</w:t>
      </w:r>
      <w:r>
        <w:rPr>
          <w:rFonts w:ascii="Times New Roman;Times;Serif" w:hAnsi="Times New Roman;Times;Serif"/>
          <w:b w:val="false"/>
          <w:i w:val="false"/>
          <w:caps w:val="false"/>
          <w:smallCaps w:val="false"/>
          <w:sz w:val="20"/>
        </w:rPr>
        <w:t>. The grant of the Options, and any other obligations of the Company under this Agreement, shall be subject to all applicable federal, state, and foreign laws, rules, and regulations and to such approvals by any regulatory or governmental agency as may be required. The Committee, in its sole discretion, may postpone the issuance or delivery of Shares as the Committee may consider appropriate and may require the Grantee to make such representations and furnish such information as it may consider appropriate in connection with the issuance or delivery of the Shares in compliance with applicable laws,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Survival of Terms</w:t>
      </w:r>
      <w:r>
        <w:rPr>
          <w:rFonts w:ascii="Times New Roman;Times;Serif" w:hAnsi="Times New Roman;Times;Serif"/>
          <w:b w:val="false"/>
          <w:i w:val="false"/>
          <w:caps w:val="false"/>
          <w:smallCaps w:val="false"/>
          <w:sz w:val="20"/>
        </w:rPr>
        <w:t>. This Agreement shall apply to and bind the Grantee and the Company and their respective permitted assignees and transferees, heirs, legatees, executors, administrators and legal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provided for herein shall be in writing and shall be delivered by hand or sent by certified or registered mail, return receipt requested, postage prepaid, addressed, if to the Grantee, to the Grantee’s attention at the mailing address the Grantee shall have specified to the Company in writing and, if to the Company, to the Company’s office at 1 Lands’ End Lane, Dodgeville, Wisconsin 53595, Attention: General Counsel (or to such other address as the Company shall have specified to the Grantee in writing). All such notices shall be conclusively deemed to be received and shall be effective, if sent by hand delivery, upon receipt, or if sent by registered or certified mail,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day on which such notice is mailed.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waiver by either party of compliance with any provision of this Agreement by the other party shall not operate or be construed as a waiver of any other provision of this Agreement, or of any subsequent breach by such party of a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Authority of the Administrator</w:t>
      </w:r>
      <w:r>
        <w:rPr>
          <w:rFonts w:ascii="Times New Roman;Times;Serif" w:hAnsi="Times New Roman;Times;Serif"/>
          <w:b w:val="false"/>
          <w:i w:val="false"/>
          <w:caps w:val="false"/>
          <w:smallCaps w:val="false"/>
          <w:sz w:val="20"/>
        </w:rPr>
        <w:t>. The Committee shall have full authority to interpret and construe the terms of the Plan and this Agreement. The determination of the Committee as to any such matter of interpretation or construction shall be final, binding and conclusive. Notwithstanding the foregoing, any classification of employment termination shall be resolved in accordance with the terms of the Severance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The Grantee has reviewed with the Grantee’s own tax advisors the applicable tax (U.S., foreign, state, and local) consequences of the transactions contemplated by this Agreement. The Grantee is relying solely on such advisors and not on any statements or representations of the Company or any of its agents. The Grantee understands that the Grantee (and not the Company) shall be responsible for any tax liability that may arise as a result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Entire Agreement; Governing Law</w:t>
      </w:r>
      <w:r>
        <w:rPr>
          <w:rFonts w:ascii="Times New Roman;Times;Serif" w:hAnsi="Times New Roman;Times;Serif"/>
          <w:b w:val="false"/>
          <w:i w:val="false"/>
          <w:caps w:val="false"/>
          <w:smallCaps w:val="false"/>
          <w:sz w:val="20"/>
        </w:rPr>
        <w:t>. This Agreement and the Plan and the other related agreements expressly referred to herein set forth the entire agreement and understanding between the parties hereto and supersedes all prior agreements and understandings relating to the subject matter hereof. This Agreement may be executed in one or more counterparts, each of which shall be deemed to be an original, but all such counterparts shall together constitute one and the same agreement. The headings of sections and subsections herein are included solely for convenience of reference and shall not affect the meaning of any of the provisions of this Agreement. This Agreement shall be governed by, and construed in accordance with, the laws of the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The Options are subject to the terms of the Severance Agreement, and, to the extent required by applicable law, any Company recoupment, clawback, or similar policy related to financials as it may be in effect from time to time, any of which could, in certain circumstances, require repayment or forfeiture of the Options or any Shares or other cash or property received with respect to the Options (including any value received from a disposition of the Shares acquired upon exercise of the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Should any provision of this Agreement be held by a court of competent jurisdiction to be unenforceable, or enforceable only if modified, such holding shall not affect the validity of the remainder of this Agreement, the balance of which shall continue to be binding upon the parties hereto with any such modification (if any) to become a part hereof and treated as though contained in this original Agreement. Moreover, if one or more of the provisions contained in this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Amendments; Construction</w:t>
      </w:r>
      <w:r>
        <w:rPr>
          <w:rFonts w:ascii="Times New Roman;Times;Serif" w:hAnsi="Times New Roman;Times;Serif"/>
          <w:b w:val="false"/>
          <w:i w:val="false"/>
          <w:caps w:val="false"/>
          <w:smallCaps w:val="false"/>
          <w:sz w:val="20"/>
        </w:rPr>
        <w:t>. The Committee may amend the terms of this Agreement prospectively or retroactively at any time, but no such amendment shall impair the rights of the Grantee hereunder without the Grantee’s consent. Headings to Sections of this Agreement are intended for convenience of reference only, are not part of the Options and shall have no effect on the interpretation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Acceptance</w:t>
      </w:r>
      <w:r>
        <w:rPr>
          <w:rFonts w:ascii="Times New Roman;Times;Serif" w:hAnsi="Times New Roman;Times;Serif"/>
          <w:b w:val="false"/>
          <w:i w:val="false"/>
          <w:caps w:val="false"/>
          <w:smallCaps w:val="false"/>
          <w:sz w:val="20"/>
        </w:rPr>
        <w:t>. The Grantee hereby acknowledges receipt of a copy of the Plan and this Agreement. The Grantee has read and understands the terms and provisions hereof and thereof and accepts the Options subject to all the terms and conditions of the Plan and this Agreement. The Grantee hereby agrees to accept as binding, conclusive and final all decisions or interpretations of the Committee upon any questions arising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to Grants or Continued Employment</w:t>
      </w:r>
      <w:r>
        <w:rPr>
          <w:rFonts w:ascii="Times New Roman;Times;Serif" w:hAnsi="Times New Roman;Times;Serif"/>
          <w:b w:val="false"/>
          <w:i w:val="false"/>
          <w:caps w:val="false"/>
          <w:smallCaps w:val="false"/>
          <w:sz w:val="20"/>
        </w:rPr>
        <w:t>. The Grantee acknowledges that the award granted under this Agreement is not an employment right and is being granted at the sole discretion of the Committee. The Grantee shall not have any claim or right to receive grants of awards under the Plan. Neither the Plan nor this Agreement, nor any action taken or omitted to be taken hereunder or thereunder, shall be deemed to create or confer on the Grantee any right to be retained as an employee of the Company or any Subsidiary thereof, or to interfere with or to limit in any way the right of the Company or any Subsidiary thereof to terminate the employment of the Grantee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Restriction on Right of Company to Effect Corporate Changes</w:t>
      </w:r>
      <w:r>
        <w:rPr>
          <w:rFonts w:ascii="Times New Roman;Times;Serif" w:hAnsi="Times New Roman;Times;Serif"/>
          <w:b w:val="false"/>
          <w:i w:val="false"/>
          <w:caps w:val="false"/>
          <w:smallCaps w:val="false"/>
          <w:sz w:val="20"/>
        </w:rPr>
        <w:t>. Neither the Plan nor this Agreement shall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Shares or the rights thereof or which are convertible into or exchangeable for Shares, or the dissolution or liquidation of the Company, or any sale or transfer of all or any part of the assets or business of the Company, or any other corporate act or proceeding, whether of a similar character or otherwise. In such event, any adjustment shall be made in accordance with Section 12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The Company shall have the right to assign any of its rights and to delegate any of its duties under this Agreement to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NULL AND VOID AND UNENFORCEABLE BY THE GRANTEE UNLESS SIGNED AND DELIVERED TO THE COMPANY NOT LATER THAN FIVE (5) DAYS SUBSEQUENT TO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THIS AGREEMENT, THE GRANTEE IS HEREBY CONSENTING TO THE PROCESSING AND TRANSFER OF THE GRANTEE’S PERSONAL DATA BY THE COMPANY TO THE EXTENT NECESSARY TO ADMINISTER AND PROCESS THE AWARDS GRANTED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and the Grantee have executed this Sign-On Nonqualified Stock Option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590"/>
        <w:gridCol w:w="3035"/>
      </w:tblGrid>
      <w:tr>
        <w:trPr/>
        <w:tc>
          <w:tcPr>
            <w:tcW w:w="75"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LANDS’ END, INC.</w:t>
            </w:r>
          </w:p>
        </w:tc>
      </w:tr>
      <w:tr>
        <w:trPr/>
        <w:tc>
          <w:tcPr>
            <w:tcW w:w="75"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Bernard McCracken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Bernard McCracken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r>
      <w:tr>
        <w:trPr/>
        <w:tc>
          <w:tcPr>
            <w:tcW w:w="75"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GRANTEE</w:t>
            </w:r>
          </w:p>
        </w:tc>
      </w:tr>
      <w:tr>
        <w:trPr/>
        <w:tc>
          <w:tcPr>
            <w:tcW w:w="75"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Charlie Cole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Charlie Cole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5" w:name="tm2620218d1_ex4-5.htm"/>
      <w:bookmarkStart w:id="6" w:name="kstm2620218d1_ex45"/>
      <w:bookmarkEnd w:id="5"/>
      <w:bookmarkEnd w:id="6"/>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4.5</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LANDS’ END,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SIGN-ON RESTRICTED STOCK UNIT AGREEMENT</w:t>
      </w:r>
    </w:p>
    <w:p>
      <w:pPr>
        <w:pStyle w:val="TextBody"/>
        <w:bidi w:val="0"/>
        <w:spacing w:before="0" w:after="0"/>
        <w:ind w:left="0" w:right="0" w:hanging="0"/>
        <w:jc w:val="left"/>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2480"/>
        <w:gridCol w:w="60"/>
        <w:gridCol w:w="1160"/>
        <w:gridCol w:w="60"/>
        <w:gridCol w:w="1745"/>
      </w:tblGrid>
      <w:tr>
        <w:trPr/>
        <w:tc>
          <w:tcPr>
            <w:tcW w:w="24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Grantee:</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Charlie Cole</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sz w:val="20"/>
                <w:u w:val="single"/>
              </w:rPr>
              <w:t>Grantee</w:t>
            </w:r>
            <w:r>
              <w:rPr>
                <w:rFonts w:ascii="Times New Roman;Times;Serif" w:hAnsi="Times New Roman;Times;Serif"/>
                <w:sz w:val="20"/>
              </w:rPr>
              <w:t>”)</w:t>
            </w:r>
          </w:p>
        </w:tc>
      </w:tr>
      <w:tr>
        <w:trPr/>
        <w:tc>
          <w:tcPr>
            <w:tcW w:w="24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of Restricted Stock Units:</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b/>
              </w:rPr>
            </w:pPr>
            <w:r>
              <w:rPr>
                <w:b/>
              </w:rPr>
              <w:t>109,361</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Issuance Date:</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13, 2026</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sz w:val="20"/>
                <w:u w:val="single"/>
              </w:rPr>
              <w:t>Issuance Date</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Grantee is currently an employee of Lands’ End,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(i) induce the Grantee with an incentive to become and remain an employee of the Company and (ii) increase the Grantee’s interest in the success of the Company by granting restricted stock units (the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 payable in the form of shares of common stock of the Company to the Grantee;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grant the Restricted Stock Units, which grant is intended to constitute an employment inducement grant as described in Rule 5635(c)(4) of the NASDAQ Stock Market Listing Rules, pursuant to the terms of this Lands’ End, Inc. Sign-On Restricted Stock Unit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promises, covenants and agreements set forth herein and other good and valuable consideration, the receipt and sufficiency of which are hereby acknowledged, the parties hereto do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 Incorporation of Plan Terms</w:t>
      </w:r>
      <w:r>
        <w:rPr>
          <w:rFonts w:ascii="Times New Roman;Times;Serif" w:hAnsi="Times New Roman;Times;Serif"/>
          <w:b w:val="false"/>
          <w:i w:val="false"/>
          <w:caps w:val="false"/>
          <w:smallCaps w:val="false"/>
          <w:sz w:val="20"/>
        </w:rPr>
        <w:t>. The Restricted Stock Units, although not granted pursuant to the Lands’ End, Inc. Amended and Restated 2017 Stock Plan (the “Plan”) shall, except as expressly set forth in this Agreement, be subject to the terms and provisions of the Plan, which is incorporated herein by reference. The Grantee hereby acknowledges receipt of a copy of the Plan. All capitalized terms used but not defined herein have the definitions set forth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Grant of 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this Agreement and the Plan, the Company hereby grants and issues to the Grantee the Restricted Stock Units specified above. The Company shall credit to a bookkeeping account (the “</w:t>
      </w:r>
      <w:r>
        <w:rPr>
          <w:rFonts w:ascii="Times New Roman;Times;Serif" w:hAnsi="Times New Roman;Times;Serif"/>
          <w:b w:val="false"/>
          <w:i w:val="false"/>
          <w:caps w:val="false"/>
          <w:smallCaps w:val="false"/>
          <w:sz w:val="20"/>
          <w:u w:val="single"/>
        </w:rPr>
        <w:t>Account</w:t>
      </w:r>
      <w:r>
        <w:rPr>
          <w:rFonts w:ascii="Times New Roman;Times;Serif" w:hAnsi="Times New Roman;Times;Serif"/>
          <w:b w:val="false"/>
          <w:i w:val="false"/>
          <w:caps w:val="false"/>
          <w:smallCaps w:val="false"/>
          <w:sz w:val="20"/>
        </w:rPr>
        <w:t>”) maintained by the Company, or a third party on behalf of the Company, for the Grantee’s benefit the Restricted Stock Units, each of which shall be deemed to be the equivalent of one share of the Company’s common stock, par value $.01 per share (each, a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The Company represents that the Restricted Stock Units will be covered by a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and whenever any cash dividends are declared on the Shares, on the date such dividend is paid, the Company will credit to the Account an amount which shall be equal to the amount of such dividend with respect to such Shares. Such amount shall be subject to the vesting and forfeiture provisions contained in Section 3(a) below. The amount shall only be payable in cash and shall be payable at the same time as amounts are otherwise payable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and whenever the Company declares and pays a dividend or distribution on the Shares in the form of additional shares, or there occurs a forward split of Shares, then a number of additional Restricted Stock Units shall be credited to the Account as of the payment date for such dividend or distribution or forward split equal to (i) the total number of Restricted Stock Units credited to the Account on the record date for such dividend or distribution or split (other than previously settled or forfeited Restricted Stock Units), multiplied by (ii) the number of additional Shares actually paid as a dividend or distribution or issued in such split in respect of each outstanding Share. The additional Restricted Stock Units shall be or become vested to the same extent as the Restricted Stock Units that resulted in the crediting of such additional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Terms and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Vesting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the Restricted Stock Units shall initially be unvested. All Restricted Stock Units shall be subject to the following vesting schedule and, except as otherwise provided in this Section 3(a) below, if a Grantee terminates employment for any reason prior to any given Vesting Date identified below, such Grantee shall forfeit any unvested Restricted Stock Units upon such termination of employment:</w:t>
      </w:r>
    </w:p>
    <w:p>
      <w:pPr>
        <w:pStyle w:val="TextBody"/>
        <w:bidi w:val="0"/>
        <w:spacing w:before="0" w:after="0"/>
        <w:ind w:left="0" w:right="0" w:hanging="0"/>
        <w:jc w:val="left"/>
        <w:rPr>
          <w:caps w:val="false"/>
          <w:smallCaps w:val="false"/>
        </w:rPr>
      </w:pPr>
      <w:r>
        <w:rPr>
          <w:caps w:val="false"/>
          <w:smallCaps w:val="false"/>
        </w:rPr>
        <w:t> </w:t>
      </w:r>
    </w:p>
    <w:tbl>
      <w:tblPr>
        <w:tblW w:w="2590" w:type="dxa"/>
        <w:jc w:val="center"/>
        <w:tblInd w:w="0" w:type="dxa"/>
        <w:tblLayout w:type="fixed"/>
        <w:tblCellMar>
          <w:top w:w="0" w:type="dxa"/>
          <w:left w:w="0" w:type="dxa"/>
          <w:bottom w:w="0" w:type="dxa"/>
          <w:right w:w="0" w:type="dxa"/>
        </w:tblCellMar>
      </w:tblPr>
      <w:tblGrid>
        <w:gridCol w:w="1145"/>
        <w:gridCol w:w="1445"/>
      </w:tblGrid>
      <w:tr>
        <w:trPr/>
        <w:tc>
          <w:tcPr>
            <w:tcW w:w="114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Vesting Date</w:t>
            </w:r>
          </w:p>
        </w:tc>
        <w:tc>
          <w:tcPr>
            <w:tcW w:w="14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of </w:t>
              <w:br/>
              <w:t xml:space="preserve">Restricted Stock </w:t>
            </w:r>
            <w:r>
              <w:rPr>
                <w:rFonts w:ascii="Times New Roman;Times;Serif" w:hAnsi="Times New Roman;Times;Serif"/>
                <w:b/>
                <w:sz w:val="20"/>
                <w:u w:val="single"/>
              </w:rPr>
              <w:br/>
              <w:t>Units Vested</w:t>
            </w:r>
          </w:p>
        </w:tc>
      </w:tr>
      <w:tr>
        <w:trPr/>
        <w:tc>
          <w:tcPr>
            <w:tcW w:w="11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2027</w:t>
            </w:r>
          </w:p>
        </w:tc>
        <w:tc>
          <w:tcPr>
            <w:tcW w:w="14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1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2028</w:t>
            </w:r>
          </w:p>
        </w:tc>
        <w:tc>
          <w:tcPr>
            <w:tcW w:w="14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1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2029</w:t>
            </w:r>
          </w:p>
        </w:tc>
        <w:tc>
          <w:tcPr>
            <w:tcW w:w="14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Grantee’s employment terminates due to a termination by the Company for Cause (as defined in the Grantee’s Executive Severance Agreement, by and between the Grantee and the Company, dated June 29, 2026 (the “Severance Agreement”)) or a resignation by the Grantee without Good Reason (as defined in the Severance Agreement), all of the unvested Restricted Stock Units will be forfeited upon such separation from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Grantee’s employment is terminated by the Company without Cause or the Grantee resigns with Good Reason, any portion of the Restricted Stock Units that would have become vested within the 12 months following the date of such separation from service will become immediately vested upon such separation from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Grantee’s employment is terminated due to death or Disability (as defined in the Severance Agreement), 50% of the Restricted Stock Units not previously vested will become immediately vested upon such separation from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Restricted Stock Units not previously forfeited shall be settled within thirty (30) days after the applicable Date of Vesting under Section 3(a) by delivery of one Share for each Restricted Stock Unit being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Section 4(a) applies only to (i) all Grantees who are U.S. employees, and (ii) to those Grantees who are employed by a Subsidiary of the Company that is obligated under applicable local law to withhold taxes with respect to the settlement of the Restricted Stock Units. Such Grantee shall pay to the Company or a designated Subsidiary, promptly upon request, and in any event at the time the Grantee recognizes taxable income with respect to the Restricted Stock Units, an amount equal to the taxes the Company determines it is required to withhold under applicable tax laws with respect to the Restricted Stock Units. Consistent with the provisions set forth in Section 14.4 of the Plan, the Grantee may satisfy the foregoing requirement by making a payment to the Company in cash or by delivering already owned unrestricted Shares or by having the Company withhold a number of Shares in which the Grantee would otherwise become vested under this Agreement (which shares shall be withheld prior to delivery of shares issued following any vesting date), in each case, having a value equal to the minimum amount of tax required to be withheld. Such Shares shall be valued at their Fair Market Value on the date as of which the amount of tax to be withheld is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Grantee acknowledges that the tax laws and regulations applicable to the Restricted Stock Units and the disposition of the shares following the settlement of Restricted Stock Units are complex and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Protections Against Violations of Agreement</w:t>
      </w:r>
      <w:r>
        <w:rPr>
          <w:rFonts w:ascii="Times New Roman;Times;Serif" w:hAnsi="Times New Roman;Times;Serif"/>
          <w:b w:val="false"/>
          <w:i w:val="false"/>
          <w:caps w:val="false"/>
          <w:smallCaps w:val="false"/>
          <w:sz w:val="20"/>
        </w:rPr>
        <w:t>. No purported sale, assignment, mortgage, hypothecation, transfer, pledge, encumbrance, gift, transfer in trust (voting or other) or other disposition of, or creation of a security interest in or lien on, any of the Restricted Stock Units by any holder thereof in violation of the provisions of this Agreement or the Certificate of Incorporation or the Bylaws of the Company, will be valid, and the Company will not transfer any shares resulting from the settlement of Restricted Stock Units on its books nor will any of such shares be entitled to vote, nor will any dividends be paid thereon, unless and until there has been full compliance with such provisions to the satisfaction of the Company. The foregoing restrictions are in addition to and not in lieu of any other remedies, legal or equitable, available to enforce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Rights as a Stockholder</w:t>
      </w:r>
      <w:r>
        <w:rPr>
          <w:rFonts w:ascii="Times New Roman;Times;Serif" w:hAnsi="Times New Roman;Times;Serif"/>
          <w:b w:val="false"/>
          <w:i w:val="false"/>
          <w:caps w:val="false"/>
          <w:smallCaps w:val="false"/>
          <w:sz w:val="20"/>
        </w:rPr>
        <w:t>. The Grantee shall not possess the right to vote the shares underlying the Restricted Stock Units until the Restricted Stock Units have settled in accordance with the provisions of this Agreement and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Survival of Terms</w:t>
      </w:r>
      <w:r>
        <w:rPr>
          <w:rFonts w:ascii="Times New Roman;Times;Serif" w:hAnsi="Times New Roman;Times;Serif"/>
          <w:b w:val="false"/>
          <w:i w:val="false"/>
          <w:caps w:val="false"/>
          <w:smallCaps w:val="false"/>
          <w:sz w:val="20"/>
        </w:rPr>
        <w:t>. This Agreement shall apply to and bind the Grantee and the Company and their respective permitted assignees and transferees, heirs, legatees, executors, administrators and legal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provided for herein shall be in writing and shall be delivered by hand or sent by certified or registered mail, return receipt requested, postage prepaid, addressed, if to the Grantee, to the Grantee’s attention at the mailing address as the Grantee shall have specified to the Company in writing and, if to the Company, to the Company’s office at 1 Lands’ End Lane, Dodgeville, Wisconsin 53595, Attention: General Counsel (or to such other address as the Company shall have specified to the Grantee in writing). All such notices shall be conclusively deemed to be received and shall be effective, if sent by hand delivery, upon receipt, or if sent by registered or certified mail,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day on which such notice is mailed.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waiver by either party of compliance with any provision of this Agreement by the other party shall not operate or be construed as a waiver of any other provision of this Agreement, or of any subsequent breach by such party of a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Authority of the Administrator</w:t>
      </w:r>
      <w:r>
        <w:rPr>
          <w:rFonts w:ascii="Times New Roman;Times;Serif" w:hAnsi="Times New Roman;Times;Serif"/>
          <w:b w:val="false"/>
          <w:i w:val="false"/>
          <w:caps w:val="false"/>
          <w:smallCaps w:val="false"/>
          <w:sz w:val="20"/>
        </w:rPr>
        <w:t>. The Committee shall have full authority to interpret and construe the terms of the Plan and this Agreement. The determination of the Committee as to any such matter of interpretation or construction shall be final, binding and conclusive. Notwithstanding the foregoing, any classification of employment termination shall be resolved in accordance with the terms of the Severance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The Grantee has reviewed with the Grantee’s own tax advisors the applicable tax (U.S., foreign, state, and local) consequences of the transactions contemplated by this Agreement. The Grantee is relying solely on such advisors and not on any statements or representations of the Company or any of its agents. The Grantee understands that the Grantee (and not the Company) shall be responsible for any tax liability that may arise as a result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Entire Agreement; Governing Law</w:t>
      </w:r>
      <w:r>
        <w:rPr>
          <w:rFonts w:ascii="Times New Roman;Times;Serif" w:hAnsi="Times New Roman;Times;Serif"/>
          <w:b w:val="false"/>
          <w:i w:val="false"/>
          <w:caps w:val="false"/>
          <w:smallCaps w:val="false"/>
          <w:sz w:val="20"/>
        </w:rPr>
        <w:t>. This Agreement and the Plan and the other related agreements expressly referred to herein set forth the entire agreement and understanding between the parties hereto and supersedes all prior agreements and understandings relating to the subject matter hereof. This Agreement may be executed in one or more counterparts, each of which shall be deemed to be an original, but all such counterparts shall together constitute one and the same agreement. The headings of sections and subsections herein are included solely for convenience of reference and shall not affect the meaning of any of the provisions of this Agreement. This Agreement shall be governed by, and construed in accordance with, the laws of the State of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The Restricted Stock Units are subject to the terms of the Severance Agreement, and, to the extent required by applicable law, any Company recoupment, clawback, or similar policy related to financials as it may be in effect from time to time, any of which could, in certain circumstances, require repayment or forfeiture of the Restricted Stock Units or any Shares or other cash or property received with respect to the Restricted Stock Units (including any value received from a disposition of the Shares acquired upon vesting of the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Should any provision of this Agreement be held by a court of competent jurisdiction to be unenforceable, or enforceable only if modified, such holding shall not affect the validity of the remainder of this Agreement, the balance of which shall continue to be binding upon the parties hereto with any such modification (if any) to become a part hereof and treated as though contained in this original Agreement. Moreover, if one or more of the provisions contained in this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Amendments; Construction</w:t>
      </w:r>
      <w:r>
        <w:rPr>
          <w:rFonts w:ascii="Times New Roman;Times;Serif" w:hAnsi="Times New Roman;Times;Serif"/>
          <w:b w:val="false"/>
          <w:i w:val="false"/>
          <w:caps w:val="false"/>
          <w:smallCaps w:val="false"/>
          <w:sz w:val="20"/>
        </w:rPr>
        <w:t>. The Committee may amend the terms of this Agreement prospectively or retroactively at any time, but no such amendment shall impair the rights of the Grantee hereunder without the Grantee’s consent. The headings of sections and subsections herein are included solely for convenience of reference and shall not affect the meaning of any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Acceptance</w:t>
      </w:r>
      <w:r>
        <w:rPr>
          <w:rFonts w:ascii="Times New Roman;Times;Serif" w:hAnsi="Times New Roman;Times;Serif"/>
          <w:b w:val="false"/>
          <w:i w:val="false"/>
          <w:caps w:val="false"/>
          <w:smallCaps w:val="false"/>
          <w:sz w:val="20"/>
        </w:rPr>
        <w:t>. The Grantee hereby acknowledges receipt of a copy of the Plan and this Agreement. The Grantee has read and understands the terms and provision thereof and accepts the shares of Restricted Stock Units subject to all the terms and conditions of the Plan and this Agreement. The Grantee hereby agrees to accept as binding, conclusive and final all decisions or interpretations of the Committee upon any questions arising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to Grants or Continued Employment</w:t>
      </w:r>
      <w:r>
        <w:rPr>
          <w:rFonts w:ascii="Times New Roman;Times;Serif" w:hAnsi="Times New Roman;Times;Serif"/>
          <w:b w:val="false"/>
          <w:i w:val="false"/>
          <w:caps w:val="false"/>
          <w:smallCaps w:val="false"/>
          <w:sz w:val="20"/>
        </w:rPr>
        <w:t>. The Grantee acknowledges that the award granted under this Agreement is not an employment right and is being granted at the sole discretion of the Committee. The Grantee shall not have any claim or right to receive grants of awards under the Plan. Neither the Plan nor this Agreement, nor any action taken or omitted to be taken hereunder or thereunder, shall be deemed to create or confer on the Grantee any right to be retained as an employee of the Company or any Subsidiary thereof, or to interfere with or to limit in any way the right of the Company or any Subsidiary thereof to terminate the employment of the Grantee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Restriction on Right of Company to Effect Corporate Changes</w:t>
      </w:r>
      <w:r>
        <w:rPr>
          <w:rFonts w:ascii="Times New Roman;Times;Serif" w:hAnsi="Times New Roman;Times;Serif"/>
          <w:b w:val="false"/>
          <w:i w:val="false"/>
          <w:caps w:val="false"/>
          <w:smallCaps w:val="false"/>
          <w:sz w:val="20"/>
        </w:rPr>
        <w:t>. Neither the Plan nor this Agreement shall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Shares or the rights thereof or which are convertible into or exchangeable for Shares, or the dissolution or liquidation of the Company, or any sale or transfer of all or any part of the assets or business of the Company, or any other corporate act or proceeding, whether of a similar character or otherwise. In such event, any adjustment shall be made in accordance with Section 12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The Company shall have the right to assign any of its rights and to delegate any of its duties under this Agreement to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Code Section 409A</w:t>
      </w:r>
      <w:r>
        <w:rPr>
          <w:rFonts w:ascii="Times New Roman;Times;Serif" w:hAnsi="Times New Roman;Times;Serif"/>
          <w:b w:val="false"/>
          <w:i w:val="false"/>
          <w:caps w:val="false"/>
          <w:smallCaps w:val="false"/>
          <w:sz w:val="20"/>
        </w:rPr>
        <w:t>. Notwithstanding anything in this Agreement to the contrary, the receipt of any benefits under this Agreement is intended to be exempt from the provisions of Section 409A of the Internal Revenue Code of 1986, as amended (the “Code”) pursuant to the short-term deferral exception. The Restricted Stock Units granted hereunder shall not be deferred, accelerated, extended, paid out or modified in a manner that would result in the application of Section 409A of the Code to such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NULL AND VOID AND UNENFORCEABLE BY THE GRANTEE UNLESS SIGNED AND DELIVERED TO THE COMPANY NOT LATER THAN FIVE (5) DAYS SUBSEQUENT TO THE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THIS AGREEMENT, THE GRANTEE IS HEREBY CONSENTING TO THE PROCESSING AND TRANSFER OF THE GRANTEE’S PERSONAL DATA BY THE COMPANY TO THE EXTENT NECESSARY TO ADMINISTER AND PROCESS THE AWARDS GRANTED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and the Grantee have executed this Sign-On Restricted Stock Unit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005" w:type="dxa"/>
        <w:jc w:val="left"/>
        <w:tblInd w:w="0" w:type="dxa"/>
        <w:tblLayout w:type="fixed"/>
        <w:tblCellMar>
          <w:top w:w="0" w:type="dxa"/>
          <w:left w:w="0" w:type="dxa"/>
          <w:bottom w:w="0" w:type="dxa"/>
          <w:right w:w="0" w:type="dxa"/>
        </w:tblCellMar>
      </w:tblPr>
      <w:tblGrid>
        <w:gridCol w:w="75"/>
        <w:gridCol w:w="320"/>
        <w:gridCol w:w="575"/>
        <w:gridCol w:w="3035"/>
      </w:tblGrid>
      <w:tr>
        <w:trPr/>
        <w:tc>
          <w:tcPr>
            <w:tcW w:w="75" w:type="dxa"/>
            <w:tcBorders/>
            <w:vAlign w:val="center"/>
          </w:tcPr>
          <w:p>
            <w:pPr>
              <w:pStyle w:val="TableContents"/>
              <w:bidi w:val="0"/>
              <w:spacing w:before="0" w:after="283"/>
              <w:jc w:val="left"/>
              <w:rPr/>
            </w:pPr>
            <w:r>
              <w:rPr/>
              <w:t> </w:t>
            </w:r>
          </w:p>
        </w:tc>
        <w:tc>
          <w:tcPr>
            <w:tcW w:w="393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r>
      <w:tr>
        <w:trPr/>
        <w:tc>
          <w:tcPr>
            <w:tcW w:w="75" w:type="dxa"/>
            <w:tcBorders/>
            <w:vAlign w:val="center"/>
          </w:tcPr>
          <w:p>
            <w:pPr>
              <w:pStyle w:val="TableContents"/>
              <w:bidi w:val="0"/>
              <w:spacing w:before="0" w:after="283"/>
              <w:jc w:val="left"/>
              <w:rPr/>
            </w:pPr>
            <w:r>
              <w:rPr/>
              <w:t> </w:t>
            </w:r>
          </w:p>
        </w:tc>
        <w:tc>
          <w:tcPr>
            <w:tcW w:w="39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LANDS’ END, INC.</w:t>
            </w:r>
          </w:p>
        </w:tc>
      </w:tr>
      <w:tr>
        <w:trPr/>
        <w:tc>
          <w:tcPr>
            <w:tcW w:w="75" w:type="dxa"/>
            <w:tcBorders/>
            <w:vAlign w:val="center"/>
          </w:tcPr>
          <w:p>
            <w:pPr>
              <w:pStyle w:val="TableContents"/>
              <w:bidi w:val="0"/>
              <w:spacing w:before="0" w:after="283"/>
              <w:jc w:val="left"/>
              <w:rPr/>
            </w:pPr>
            <w:r>
              <w:rPr/>
              <w:t> </w:t>
            </w:r>
          </w:p>
        </w:tc>
        <w:tc>
          <w:tcPr>
            <w:tcW w:w="39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Bernard McCracken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Bernard McCracken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Treasurer</w:t>
            </w:r>
          </w:p>
        </w:tc>
      </w:tr>
      <w:tr>
        <w:trPr/>
        <w:tc>
          <w:tcPr>
            <w:tcW w:w="75" w:type="dxa"/>
            <w:tcBorders/>
            <w:vAlign w:val="center"/>
          </w:tcPr>
          <w:p>
            <w:pPr>
              <w:pStyle w:val="TableContents"/>
              <w:bidi w:val="0"/>
              <w:spacing w:before="0" w:after="283"/>
              <w:jc w:val="left"/>
              <w:rPr/>
            </w:pPr>
            <w:r>
              <w:rPr/>
              <w:t> </w:t>
            </w:r>
          </w:p>
        </w:tc>
        <w:tc>
          <w:tcPr>
            <w:tcW w:w="39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3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GRANTEE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Charlie Cole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035" w:type="dxa"/>
            <w:tcBorders/>
            <w:vAlign w:val="center"/>
          </w:tcPr>
          <w:p>
            <w:pPr>
              <w:pStyle w:val="TableContents"/>
              <w:bidi w:val="0"/>
              <w:spacing w:before="0" w:after="283"/>
              <w:jc w:val="left"/>
              <w:rPr/>
            </w:pPr>
            <w:r>
              <w:rPr/>
              <w:t> </w:t>
            </w:r>
            <w:r>
              <w:rPr>
                <w:rFonts w:ascii="Times New Roman;Times;Serif" w:hAnsi="Times New Roman;Times;Serif"/>
                <w:sz w:val="20"/>
              </w:rPr>
              <w:t>Charlie Cole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7" w:name="tm2620218d1_ex5-1.htm"/>
      <w:bookmarkStart w:id="8" w:name="kstm2620218d1_ex51"/>
      <w:bookmarkEnd w:id="7"/>
      <w:bookmarkEnd w:id="8"/>
      <w:r>
        <w:rPr/>
        <w:t> </w:t>
      </w:r>
      <w:r>
        <w:br w:type="page"/>
      </w:r>
    </w:p>
    <w:p>
      <w:pPr>
        <w:pStyle w:val="TextBody"/>
        <w:bidi w:val="0"/>
        <w:jc w:val="right"/>
        <w:rPr>
          <w:b/>
          <w:sz w:val="20"/>
        </w:rPr>
      </w:pPr>
      <w:r>
        <w:rPr>
          <w:b/>
          <w:sz w:val="20"/>
        </w:rPr>
        <w:t>Exhibit 5.1</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[Letterhead of Wachtell, Lipton, Rosen &amp; Katz]</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Lands’ End, Inc.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Lands’ End Lane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Dodgeville, WI  53595</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250" w:type="dxa"/>
        <w:jc w:val="left"/>
        <w:tblInd w:w="0" w:type="dxa"/>
        <w:shd w:fill="FFFFFF" w:val="clear"/>
        <w:tblLayout w:type="fixed"/>
        <w:tblCellMar>
          <w:top w:w="0" w:type="dxa"/>
          <w:left w:w="0" w:type="dxa"/>
          <w:bottom w:w="0" w:type="dxa"/>
          <w:right w:w="0" w:type="dxa"/>
        </w:tblCellMar>
      </w:tblPr>
      <w:tblGrid>
        <w:gridCol w:w="320"/>
        <w:gridCol w:w="2930"/>
      </w:tblGrid>
      <w:tr>
        <w:trPr/>
        <w:tc>
          <w:tcPr>
            <w:tcW w:w="320" w:type="dxa"/>
            <w:tcBorders/>
            <w:shd w:fill="FFFFFF" w:val="clear"/>
            <w:vAlign w:val="center"/>
          </w:tcPr>
          <w:p>
            <w:pPr>
              <w:pStyle w:val="TableContents"/>
              <w:bidi w:val="0"/>
              <w:spacing w:before="0" w:after="283"/>
              <w:jc w:val="left"/>
              <w:rPr>
                <w:sz w:val="20"/>
              </w:rPr>
            </w:pPr>
            <w:r>
              <w:rPr>
                <w:sz w:val="20"/>
              </w:rPr>
              <w:t>Re:</w:t>
            </w:r>
          </w:p>
        </w:tc>
        <w:tc>
          <w:tcPr>
            <w:tcW w:w="2930" w:type="dxa"/>
            <w:tcBorders/>
            <w:shd w:fill="FFFFFF" w:val="clear"/>
            <w:vAlign w:val="center"/>
          </w:tcPr>
          <w:p>
            <w:pPr>
              <w:pStyle w:val="TableContents"/>
              <w:bidi w:val="0"/>
              <w:spacing w:before="0" w:after="283"/>
              <w:jc w:val="left"/>
              <w:rPr>
                <w:sz w:val="20"/>
              </w:rPr>
            </w:pPr>
            <w:r>
              <w:rPr>
                <w:sz w:val="20"/>
              </w:rPr>
              <w:t>Registration Statement on Form S-8</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Lands’ End,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which term does not include any other document or agreement whether or not specifically referred to therein or attached as an exhibit or schedule thereto),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relating to the issuance by the Company of up to 275,379 shares common stock, par value $0.01 per share, of the Company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166,018 of which may be issued pursuant to the Sign-On Nonqualified Stock Option Agreement dated July 13, 2026, by and between the Company and Charlie Cole, and 109,361 of which may be issued pursuant to the Sign-On Restricted Stock Unit Agreement dated July 13, 2026, by and between the Company and Charlie Cole.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special counsel to the Company and in connection with the opinion set forth herein, we have examined the originals, or duplicates or certified or conformed copies, of such corporate records, agreements, documents and other instruments, including the certificate of incorporation and bylaws of the Company, in each case, as amended through the date hereof, and have made such other investigations as we have deemed relevant and necessary in connection with the opinion set forth below. As to questions of fact material to this opinion, we have relied upon oral and written representations of officers and representatives of the Company and certificates or comparable documents of public officials and of officers and representatives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such examination and rendering the opinion set forth below, we have assumed without verification the genuineness of all signatures, the authenticity of all documents submitted to us as originals, the conformity to originals of all documents submitted to us as copies, and the legal capacity of all individuals executing any of the foregoing documents.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below, we have also assumed that the Shares, when issued, will be duly authenticated by the transfer agent and registrar for the Shares and that the certificates, if any, evidencing the Shares to be issued will be manually signed by one of the authorized officers of the transfer agent and registrar for the Shares and registered by such transfer agent.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and limitations stated herein, we are of the opinion that when the Shares have been issued and delivered pursuant to the terms and conditions set forth in the Registration Statement, the Shares will be validly issued, duly authorized,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herein concerning any law other than the Delaware General Corporation Law (including the statutory provisions, all applicable provisions of the Delaware Constitution and reported judicial decisions interpreting the foregoing). This opinion letter is being furnished solely in connection with the offer, sale and issuance of the Shares and may not be used, quoted, relied upon or otherwise referred to for any other purpose without our prior written consent.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In giving such consent, we do not hereby admit that we are 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75"/>
        <w:gridCol w:w="2870"/>
      </w:tblGrid>
      <w:tr>
        <w:trPr/>
        <w:tc>
          <w:tcPr>
            <w:tcW w:w="7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/s/ Wachtell, Lipton, Rosen &amp; Katz</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9" w:name="tm2620218d1_ex23-1.htm"/>
      <w:bookmarkStart w:id="10" w:name="kstm2620218d1_ex231"/>
      <w:bookmarkEnd w:id="9"/>
      <w:bookmarkEnd w:id="10"/>
      <w:r>
        <w:rPr/>
        <w:t> </w:t>
      </w:r>
      <w:r>
        <w:br w:type="page"/>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our report dated March 26, 2026, relating to the financial statements of Lands’ End, Inc. and the effectiveness of Lands’ End, Inc.’s internal control over financial reporting, appearing in the Annual Report on Form 10-K of Lands’ End, Inc. for the year ended January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11" w:name="tm2620218d1_ex-filingfees.htm"/>
      <w:bookmarkStart w:id="12" w:name="kstm2620218d1_exfilingfees"/>
      <w:bookmarkStart w:id="13" w:name="tm2620218d1_ex-filingfees.htm"/>
      <w:bookmarkStart w:id="14" w:name="kstm2620218d1_exfilingfees"/>
      <w:bookmarkEnd w:id="13"/>
      <w:bookmarkEnd w:id="14"/>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LANDS' END,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1"/>
        <w:gridCol w:w="1302"/>
        <w:gridCol w:w="1210"/>
        <w:gridCol w:w="1245"/>
        <w:gridCol w:w="1604"/>
        <w:gridCol w:w="1127"/>
        <w:gridCol w:w="1442"/>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5"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1" w:type="dxa"/>
            <w:tcBorders/>
            <w:shd w:fill="E7E7E2" w:val="clear"/>
            <w:vAlign w:val="center"/>
          </w:tcPr>
          <w:p>
            <w:pPr>
              <w:pStyle w:val="TableContents"/>
              <w:bidi w:val="0"/>
              <w:spacing w:before="0" w:after="283"/>
              <w:jc w:val="left"/>
              <w:rPr/>
            </w:pPr>
            <w:r>
              <w:rPr/>
              <w:t xml:space="preserve">Common Stock, $0.01 par value per share </w:t>
            </w:r>
          </w:p>
        </w:tc>
        <w:tc>
          <w:tcPr>
            <w:tcW w:w="1302"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166,018 </w:t>
            </w:r>
          </w:p>
        </w:tc>
        <w:tc>
          <w:tcPr>
            <w:tcW w:w="1245" w:type="dxa"/>
            <w:tcBorders/>
            <w:shd w:fill="E7E7E2" w:val="clear"/>
            <w:vAlign w:val="center"/>
          </w:tcPr>
          <w:p>
            <w:pPr>
              <w:pStyle w:val="TableContents"/>
              <w:bidi w:val="0"/>
              <w:spacing w:before="0" w:after="283"/>
              <w:jc w:val="right"/>
              <w:rPr/>
            </w:pPr>
            <w:r>
              <w:rPr/>
              <w:t xml:space="preserve">$ 11.43 </w:t>
            </w:r>
          </w:p>
        </w:tc>
        <w:tc>
          <w:tcPr>
            <w:tcW w:w="1604" w:type="dxa"/>
            <w:tcBorders/>
            <w:shd w:fill="E7E7E2" w:val="clear"/>
            <w:vAlign w:val="center"/>
          </w:tcPr>
          <w:p>
            <w:pPr>
              <w:pStyle w:val="TableContents"/>
              <w:bidi w:val="0"/>
              <w:spacing w:before="0" w:after="283"/>
              <w:jc w:val="right"/>
              <w:rPr/>
            </w:pPr>
            <w:r>
              <w:rPr/>
              <w:t xml:space="preserve">$ 1,897,585.74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$ 262.06 </w:t>
            </w:r>
          </w:p>
        </w:tc>
      </w:tr>
      <w:tr>
        <w:trPr/>
        <w:tc>
          <w:tcPr>
            <w:tcW w:w="242" w:type="dxa"/>
            <w:tcBorders/>
            <w:shd w:fill="E7E7E2" w:val="clear"/>
            <w:vAlign w:val="center"/>
          </w:tcPr>
          <w:p>
            <w:pPr>
              <w:pStyle w:val="TableContents"/>
              <w:bidi w:val="0"/>
              <w:spacing w:before="0" w:after="283"/>
              <w:jc w:val="center"/>
              <w:rPr/>
            </w:pPr>
            <w:r>
              <w:rPr/>
              <w:t xml:space="preserve">2 </w:t>
            </w:r>
          </w:p>
        </w:tc>
        <w:tc>
          <w:tcPr>
            <w:tcW w:w="962" w:type="dxa"/>
            <w:tcBorders/>
            <w:shd w:fill="E7E7E2" w:val="clear"/>
            <w:vAlign w:val="center"/>
          </w:tcPr>
          <w:p>
            <w:pPr>
              <w:pStyle w:val="TableContents"/>
              <w:bidi w:val="0"/>
              <w:spacing w:before="0" w:after="283"/>
              <w:jc w:val="left"/>
              <w:rPr/>
            </w:pPr>
            <w:r>
              <w:rPr/>
              <w:t xml:space="preserve">Equity </w:t>
            </w:r>
          </w:p>
        </w:tc>
        <w:tc>
          <w:tcPr>
            <w:tcW w:w="1071" w:type="dxa"/>
            <w:tcBorders/>
            <w:shd w:fill="E7E7E2" w:val="clear"/>
            <w:vAlign w:val="center"/>
          </w:tcPr>
          <w:p>
            <w:pPr>
              <w:pStyle w:val="TableContents"/>
              <w:bidi w:val="0"/>
              <w:spacing w:before="0" w:after="283"/>
              <w:jc w:val="left"/>
              <w:rPr/>
            </w:pPr>
            <w:r>
              <w:rPr/>
              <w:t xml:space="preserve">Common Stock, $0.01 par value per share </w:t>
            </w:r>
          </w:p>
        </w:tc>
        <w:tc>
          <w:tcPr>
            <w:tcW w:w="1302"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109,361 </w:t>
            </w:r>
          </w:p>
        </w:tc>
        <w:tc>
          <w:tcPr>
            <w:tcW w:w="1245" w:type="dxa"/>
            <w:tcBorders/>
            <w:shd w:fill="E7E7E2" w:val="clear"/>
            <w:vAlign w:val="center"/>
          </w:tcPr>
          <w:p>
            <w:pPr>
              <w:pStyle w:val="TableContents"/>
              <w:bidi w:val="0"/>
              <w:spacing w:before="0" w:after="283"/>
              <w:jc w:val="right"/>
              <w:rPr/>
            </w:pPr>
            <w:r>
              <w:rPr/>
              <w:t xml:space="preserve">$ 12.00 </w:t>
            </w:r>
          </w:p>
        </w:tc>
        <w:tc>
          <w:tcPr>
            <w:tcW w:w="1604" w:type="dxa"/>
            <w:tcBorders/>
            <w:shd w:fill="E7E7E2" w:val="clear"/>
            <w:vAlign w:val="center"/>
          </w:tcPr>
          <w:p>
            <w:pPr>
              <w:pStyle w:val="TableContents"/>
              <w:bidi w:val="0"/>
              <w:spacing w:before="0" w:after="283"/>
              <w:jc w:val="right"/>
              <w:rPr/>
            </w:pPr>
            <w:r>
              <w:rPr/>
              <w:t xml:space="preserve">$ 1,312,332.00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$ 181.23 </w:t>
            </w:r>
          </w:p>
        </w:tc>
      </w:tr>
      <w:tr>
        <w:trPr/>
        <w:tc>
          <w:tcPr>
            <w:tcW w:w="4787" w:type="dxa"/>
            <w:gridSpan w:val="5"/>
            <w:tcBorders/>
            <w:vAlign w:val="center"/>
          </w:tcPr>
          <w:p>
            <w:pPr>
              <w:pStyle w:val="TableContents"/>
              <w:bidi w:val="0"/>
              <w:spacing w:before="0" w:after="0"/>
              <w:ind w:left="0" w:right="0" w:hanging="0"/>
              <w:jc w:val="right"/>
              <w:rPr/>
            </w:pPr>
            <w:r>
              <w:rPr/>
              <w:t>Total Offering Amounts:</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0"/>
              <w:ind w:left="0" w:right="0" w:hanging="0"/>
              <w:jc w:val="right"/>
              <w:rPr/>
            </w:pPr>
            <w:bookmarkStart w:id="15" w:name="MaxAggtOfferingPrice"/>
            <w:bookmarkEnd w:id="15"/>
            <w:r>
              <w:rPr/>
              <w:t xml:space="preserve">$ 3,209,917.74 </w:t>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$ 443.29 </w:t>
            </w:r>
          </w:p>
        </w:tc>
      </w:tr>
      <w:tr>
        <w:trPr/>
        <w:tc>
          <w:tcPr>
            <w:tcW w:w="4787" w:type="dxa"/>
            <w:gridSpan w:val="5"/>
            <w:tcBorders/>
            <w:vAlign w:val="center"/>
          </w:tcPr>
          <w:p>
            <w:pPr>
              <w:pStyle w:val="TableContents"/>
              <w:bidi w:val="0"/>
              <w:spacing w:before="0" w:after="0"/>
              <w:ind w:left="0" w:right="0" w:hanging="0"/>
              <w:jc w:val="right"/>
              <w:rPr/>
            </w:pPr>
            <w:r>
              <w:rPr/>
              <w:t xml:space="preserve">Total Fee Offsets: </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4787" w:type="dxa"/>
            <w:gridSpan w:val="5"/>
            <w:tcBorders/>
            <w:vAlign w:val="center"/>
          </w:tcPr>
          <w:p>
            <w:pPr>
              <w:pStyle w:val="TableContents"/>
              <w:bidi w:val="0"/>
              <w:spacing w:before="0" w:after="0"/>
              <w:ind w:left="0" w:right="0" w:hanging="0"/>
              <w:jc w:val="right"/>
              <w:rPr/>
            </w:pPr>
            <w:r>
              <w:rPr/>
              <w:t xml:space="preserve">Net Fee Due: </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8" w:name="NetFeeAmt"/>
            <w:bookmarkEnd w:id="18"/>
            <w:r>
              <w:rPr/>
              <w:t xml:space="preserve">$ 443.29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 amount registered represents 166,018 shares of common stock, $0.01 par value per share, of the Registrant ("Common Stock"), that may be issued pursuant to the Sign-On Nonqualified Stock Option Agreement, dated July 13, 2026, by and between the Registrant and Charlie Cole. Pursuant to Rule 416(a) under the Securities Act of 1933, as amended (the "Securities Act"), this registration statement also covers an indeterminate number of additional shares of Common Stock with respect to the shares registered herewith issuable as a result of stock splits, stock dividends or similar transactions. The proposed maximum offering price per share and maximum aggregate offering price per share for the Common Stock covered by this registration statement have been estimated solely for the purposes of solely for the purpose of determining the amount of registration fee due for this filing in accordance with Rule 457(c) and Rule 457(h) of the Securities Act. With respect to shares issuable upon exercise of stock options, the proposed maximum offering price per share is based on the exercise price of such options.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The amount registered represents 109,361 shares of Common Stock that may be issued pursuant to the Sign-On Restricted Stock Unit Agreement dated July 13, 2026, by and between the Registrant and Charlie Cole. Pursuant to Rule 416(a) under the Securities Act, this registration statement also covers an indeterminate number of additional shares of Common Stock with respect to the shares registered herewith issuable as a result of stock splits, stock dividends or similar transactions. The proposed maximum offering price per share and maximum aggregate offering price per share for the Common Stock covered by this registration statement have been estimated solely for the purposes of solely for the purpose of determining the amount of registration fee due for this filing in accordance with Rule 457(c) and Rule 457(h) of the Securities Act. With respect to shares issuable upon settlement of restricted stock units, the proposed maximum offering price per share is based on the average of the high and low prices of Common Stock, as reported on The NASDAQ Stock Market on July 8,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799288/000119312526126210/le-20260130.htm" TargetMode="External"/><Relationship Id="rId3" Type="http://schemas.openxmlformats.org/officeDocument/2006/relationships/hyperlink" Target="http://www.sec.gov/ix?doc=/Archives/edgar/data/799288/000110465926036100/tm261580-1_def14a.htm" TargetMode="External"/><Relationship Id="rId4" Type="http://schemas.openxmlformats.org/officeDocument/2006/relationships/hyperlink" Target="http://www.sec.gov/ix?doc=/Archives/edgar/data/799288/000119312526263736/le-20260501.htm" TargetMode="External"/><Relationship Id="rId5" Type="http://schemas.openxmlformats.org/officeDocument/2006/relationships/hyperlink" Target="https://www.sec.gov/ix?doc=/Archives/edgar/data/799288/000110465926026386/tm268283d2_8k.htm" TargetMode="External"/><Relationship Id="rId6" Type="http://schemas.openxmlformats.org/officeDocument/2006/relationships/hyperlink" Target="https://www.sec.gov/ix?doc=/Archives/edgar/data/799288/000110465926038270/tm2610714d1_8k.htm" TargetMode="External"/><Relationship Id="rId7" Type="http://schemas.openxmlformats.org/officeDocument/2006/relationships/hyperlink" Target="https://www.sec.gov/ix?doc=/Archives/edgar/data/799288/000110465926038276/tm2610714d3_8k.htm" TargetMode="External"/><Relationship Id="rId8" Type="http://schemas.openxmlformats.org/officeDocument/2006/relationships/hyperlink" Target="https://www.sec.gov/ix?doc=/Archives/edgar/data/799288/000119312526212234/le-20260507.htm" TargetMode="External"/><Relationship Id="rId9" Type="http://schemas.openxmlformats.org/officeDocument/2006/relationships/hyperlink" Target="https://www.sec.gov/ix?doc=/Archives/edgar/data/799288/000110465926079340/tm2619425d1_8k.htm" TargetMode="External"/><Relationship Id="rId10" Type="http://schemas.openxmlformats.org/officeDocument/2006/relationships/hyperlink" Target="https://www.sec.gov/ix?doc=/Archives/edgar/data/799288/000110465926082707/tm2620186d1_8k.htm" TargetMode="External"/><Relationship Id="rId11" Type="http://schemas.openxmlformats.org/officeDocument/2006/relationships/hyperlink" Target="https://www.sec.gov/Archives/edgar/data/799288/000119312526126210/le-ex4_9.htm" TargetMode="External"/><Relationship Id="rId12" Type="http://schemas.openxmlformats.org/officeDocument/2006/relationships/hyperlink" Target="https://www.sec.gov/Archives/edgar/data/799288/000156459022011688/le-ex31_240.htm" TargetMode="External"/><Relationship Id="rId13" Type="http://schemas.openxmlformats.org/officeDocument/2006/relationships/hyperlink" Target="https://www.sec.gov/Archives/edgar/data/799288/000156459022011688/le-ex31_240.htm" TargetMode="External"/><Relationship Id="rId14" Type="http://schemas.openxmlformats.org/officeDocument/2006/relationships/hyperlink" Target="https://www.sec.gov/Archives/edgar/data/799288/000095017024108752/le-ex3_1.htm" TargetMode="External"/><Relationship Id="rId15" Type="http://schemas.openxmlformats.org/officeDocument/2006/relationships/hyperlink" Target="https://www.sec.gov/Archives/edgar/data/799288/000095017024108752/le-ex3_1.htm" TargetMode="External"/><Relationship Id="rId16" Type="http://schemas.openxmlformats.org/officeDocument/2006/relationships/hyperlink" Target="https://www.sec.gov/Archives/edgar/data/799288/000079928819000051/landsendincamendedandresta.htm" TargetMode="External"/><Relationship Id="rId17" Type="http://schemas.openxmlformats.org/officeDocument/2006/relationships/hyperlink" Target="https://www.sec.gov/Archives/edgar/data/799288/000079928819000051/landsendincamendedandresta.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10341</Words>
  <Characters>53636</Characters>
  <CharactersWithSpaces>64930</CharactersWithSpaces>
  <Paragraphs>849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