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LANDS' END,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001-09769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36-2512786</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5 Lands' End Lane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Dodgeville, Wisconsin</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53595</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(608) 935-9341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May 7, 2026, Lands’ End, Inc. (the “Company”) held its 2026 Annual Meeting of Stockholders (the “Annual Meeting”). The items submitted to a vote of the Company’s stockholders (the “Stockholders”) at the Annual Meeting are described in detail in the Company’s definitive proxy statement for the Annual Meeting, filed with the Securities and Exchange Commission on March 27, 2026. The results of such Stockholder votes are set forth below:</w:t>
      </w:r>
    </w:p>
    <w:p>
      <w:pPr>
        <w:spacing w:after="0" w:line="280" w:lineRule="exact"/>
        <w:rPr>
          <w:sz w:val="20"/>
          <w:szCs w:val="20"/>
          <w:color w:val="auto"/>
        </w:rPr>
      </w:pPr>
    </w:p>
    <w:p>
      <w:pPr>
        <w:jc w:val="both"/>
        <w:ind w:left="1020" w:hanging="503"/>
        <w:spacing w:after="0" w:line="262" w:lineRule="auto"/>
        <w:tabs>
          <w:tab w:leader="none" w:pos="10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w:t>
      </w:r>
      <w:r>
        <w:rPr>
          <w:rFonts w:ascii="Times New Roman" w:cs="Times New Roman" w:eastAsia="Times New Roman" w:hAnsi="Times New Roman"/>
          <w:sz w:val="18"/>
          <w:szCs w:val="18"/>
          <w:color w:val="auto"/>
        </w:rPr>
        <w:t>. Each of Robert Galvin, Gordon Hartogensis, Elizabeth Leykum, Josephine Linden, John T. McClain, Andrew J.</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McLean and Alicia Parker was elected to the Board of Directors of the Company, each to serve until the Company’s 2027 Annual Meeting of Stockholders or until their successor is elected and qualified, or earlier death, resignation, disqualification or removal. The votes on this matter were as follows:</w:t>
      </w:r>
    </w:p>
    <w:p>
      <w:pPr>
        <w:spacing w:after="0" w:line="175" w:lineRule="exact"/>
        <w:rPr>
          <w:sz w:val="20"/>
          <w:szCs w:val="20"/>
          <w:color w:val="auto"/>
        </w:rPr>
      </w:pPr>
    </w:p>
    <w:tbl>
      <w:tblPr>
        <w:tblLayout w:type="fixed"/>
        <w:tblInd w:w="810" w:type="dxa"/>
        <w:tblCellMar>
          <w:top w:w="0" w:type="dxa"/>
          <w:left w:w="0" w:type="dxa"/>
          <w:bottom w:w="0" w:type="dxa"/>
          <w:right w:w="0" w:type="dxa"/>
        </w:tblCellMar>
      </w:tblPr>
      <w:tr>
        <w:trPr>
          <w:trHeight w:val="243"/>
        </w:trPr>
        <w:tc>
          <w:tcPr>
            <w:tcW w:w="2940" w:type="dxa"/>
            <w:vAlign w:val="bottom"/>
            <w:tcBorders>
              <w:top w:val="single" w:sz="8" w:color="auto"/>
              <w:left w:val="single" w:sz="8" w:color="auto"/>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429"/>
        </w:trPr>
        <w:tc>
          <w:tcPr>
            <w:tcW w:w="2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Galvin</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24,017,696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261,586</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692,044</w:t>
            </w:r>
          </w:p>
        </w:tc>
      </w:tr>
      <w:tr>
        <w:trPr>
          <w:trHeight w:val="425"/>
        </w:trPr>
        <w:tc>
          <w:tcPr>
            <w:tcW w:w="2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Gordon Hartogensis</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24,264,697</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14,585</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692,044</w:t>
            </w:r>
          </w:p>
        </w:tc>
      </w:tr>
      <w:tr>
        <w:trPr>
          <w:trHeight w:val="426"/>
        </w:trPr>
        <w:tc>
          <w:tcPr>
            <w:tcW w:w="2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Elizabeth Leykum</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24,049,731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229,551</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692,044</w:t>
            </w:r>
          </w:p>
        </w:tc>
      </w:tr>
      <w:tr>
        <w:trPr>
          <w:trHeight w:val="425"/>
        </w:trPr>
        <w:tc>
          <w:tcPr>
            <w:tcW w:w="2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Josephine Linden</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24,035,016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244,266</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692,044</w:t>
            </w:r>
          </w:p>
        </w:tc>
      </w:tr>
      <w:tr>
        <w:trPr>
          <w:trHeight w:val="426"/>
        </w:trPr>
        <w:tc>
          <w:tcPr>
            <w:tcW w:w="2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T. McClain</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24,250,263</w:t>
            </w:r>
          </w:p>
        </w:tc>
        <w:tc>
          <w:tcPr>
            <w:tcW w:w="2240" w:type="dxa"/>
            <w:vAlign w:val="bottom"/>
            <w:tcBorders>
              <w:bottom w:val="single" w:sz="8" w:color="auto"/>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29,019</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692,044</w:t>
            </w:r>
          </w:p>
        </w:tc>
      </w:tr>
      <w:tr>
        <w:trPr>
          <w:trHeight w:val="426"/>
        </w:trPr>
        <w:tc>
          <w:tcPr>
            <w:tcW w:w="2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Andrew J. McLean</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24,249,761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29,521</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692,044</w:t>
            </w:r>
          </w:p>
        </w:tc>
      </w:tr>
      <w:tr>
        <w:trPr>
          <w:trHeight w:val="425"/>
        </w:trPr>
        <w:tc>
          <w:tcPr>
            <w:tcW w:w="2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Alicia Parker</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24,242,634</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36,648</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692,044</w:t>
            </w:r>
          </w:p>
        </w:tc>
      </w:tr>
    </w:tbl>
    <w:p>
      <w:pPr>
        <w:spacing w:after="0" w:line="302" w:lineRule="exact"/>
        <w:rPr>
          <w:sz w:val="20"/>
          <w:szCs w:val="20"/>
          <w:color w:val="auto"/>
        </w:rPr>
      </w:pPr>
    </w:p>
    <w:p>
      <w:pPr>
        <w:ind w:left="1020" w:hanging="503"/>
        <w:spacing w:after="0" w:line="286" w:lineRule="auto"/>
        <w:tabs>
          <w:tab w:leader="none" w:pos="10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Advisory Vote to Approve the Compensation of the Company’s Named Executive Officers. </w:t>
      </w:r>
      <w:r>
        <w:rPr>
          <w:rFonts w:ascii="Times New Roman" w:cs="Times New Roman" w:eastAsia="Times New Roman" w:hAnsi="Times New Roman"/>
          <w:sz w:val="18"/>
          <w:szCs w:val="18"/>
          <w:color w:val="auto"/>
        </w:rPr>
        <w:t>The Stockholders approved, on a non-binding advisory basis, the compensation of the Company’s named executive officers. The votes on this matter were as follows:</w:t>
      </w:r>
    </w:p>
    <w:p>
      <w:pPr>
        <w:spacing w:after="0" w:line="154" w:lineRule="exact"/>
        <w:rPr>
          <w:sz w:val="20"/>
          <w:szCs w:val="20"/>
          <w:color w:val="auto"/>
        </w:rPr>
      </w:pPr>
    </w:p>
    <w:tbl>
      <w:tblPr>
        <w:tblLayout w:type="fixed"/>
        <w:tblInd w:w="1210" w:type="dxa"/>
        <w:tblCellMar>
          <w:top w:w="0" w:type="dxa"/>
          <w:left w:w="0" w:type="dxa"/>
          <w:bottom w:w="0" w:type="dxa"/>
          <w:right w:w="0" w:type="dxa"/>
        </w:tblCellMar>
      </w:tblPr>
      <w:tr>
        <w:trPr>
          <w:trHeight w:val="243"/>
        </w:trPr>
        <w:tc>
          <w:tcPr>
            <w:tcW w:w="2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60" w:type="dxa"/>
            <w:vAlign w:val="bottom"/>
            <w:tcBorders>
              <w:top w:val="single" w:sz="8" w:color="auto"/>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429"/>
        </w:trPr>
        <w:tc>
          <w:tcPr>
            <w:tcW w:w="2220" w:type="dxa"/>
            <w:vAlign w:val="bottom"/>
            <w:tcBorders>
              <w:bottom w:val="single" w:sz="8" w:color="auto"/>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24,068,089</w:t>
            </w:r>
          </w:p>
        </w:tc>
        <w:tc>
          <w:tcPr>
            <w:tcW w:w="2260" w:type="dxa"/>
            <w:vAlign w:val="bottom"/>
            <w:tcBorders>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155,243</w:t>
            </w:r>
          </w:p>
        </w:tc>
        <w:tc>
          <w:tcPr>
            <w:tcW w:w="2140" w:type="dxa"/>
            <w:vAlign w:val="bottom"/>
            <w:tcBorders>
              <w:bottom w:val="single" w:sz="8" w:color="auto"/>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55,950</w:t>
            </w:r>
          </w:p>
        </w:tc>
        <w:tc>
          <w:tcPr>
            <w:tcW w:w="2260" w:type="dxa"/>
            <w:vAlign w:val="bottom"/>
            <w:tcBorders>
              <w:bottom w:val="single" w:sz="8" w:color="auto"/>
              <w:right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692,044</w:t>
            </w:r>
          </w:p>
        </w:tc>
      </w:tr>
    </w:tbl>
    <w:p>
      <w:pPr>
        <w:spacing w:after="0" w:line="302" w:lineRule="exact"/>
        <w:rPr>
          <w:sz w:val="20"/>
          <w:szCs w:val="20"/>
          <w:color w:val="auto"/>
        </w:rPr>
      </w:pPr>
    </w:p>
    <w:p>
      <w:pPr>
        <w:jc w:val="both"/>
        <w:ind w:left="1020" w:hanging="503"/>
        <w:spacing w:after="0" w:line="268" w:lineRule="auto"/>
        <w:tabs>
          <w:tab w:leader="none" w:pos="10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Ratification of the Appointment of Deloitte &amp; Touche LLP as the Company’s Independent Registered Public Accounting Firm for Fiscal Year 2026</w:t>
      </w:r>
      <w:r>
        <w:rPr>
          <w:rFonts w:ascii="Times New Roman" w:cs="Times New Roman" w:eastAsia="Times New Roman" w:hAnsi="Times New Roman"/>
          <w:sz w:val="18"/>
          <w:szCs w:val="18"/>
          <w:color w:val="auto"/>
        </w:rPr>
        <w:t>. The Stockholders ratified the appointment of Deloitte &amp; Touche LLP as the Company’s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for fiscal year 2026. The votes on this matter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460" w:type="dxa"/>
            <w:vAlign w:val="bottom"/>
            <w:tcBorders>
              <w:right w:val="single" w:sz="8" w:color="auto"/>
            </w:tcBorders>
          </w:tcPr>
          <w:p>
            <w:pPr>
              <w:spacing w:after="0"/>
              <w:rPr>
                <w:sz w:val="21"/>
                <w:szCs w:val="21"/>
                <w:color w:val="auto"/>
              </w:rPr>
            </w:pP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400" w:type="dxa"/>
            <w:vAlign w:val="bottom"/>
          </w:tcPr>
          <w:p>
            <w:pPr>
              <w:spacing w:after="0"/>
              <w:rPr>
                <w:sz w:val="21"/>
                <w:szCs w:val="21"/>
                <w:color w:val="auto"/>
              </w:rPr>
            </w:pPr>
          </w:p>
        </w:tc>
      </w:tr>
      <w:tr>
        <w:trPr>
          <w:trHeight w:val="429"/>
        </w:trPr>
        <w:tc>
          <w:tcPr>
            <w:tcW w:w="1460" w:type="dxa"/>
            <w:vAlign w:val="bottom"/>
            <w:tcBorders>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24,964,394</w:t>
            </w:r>
          </w:p>
        </w:tc>
        <w:tc>
          <w:tcPr>
            <w:tcW w:w="2820" w:type="dxa"/>
            <w:vAlign w:val="bottom"/>
            <w:tcBorders>
              <w:bottom w:val="single" w:sz="8" w:color="auto"/>
              <w:right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4,838</w:t>
            </w:r>
          </w:p>
        </w:tc>
        <w:tc>
          <w:tcPr>
            <w:tcW w:w="2800" w:type="dxa"/>
            <w:vAlign w:val="bottom"/>
            <w:tcBorders>
              <w:bottom w:val="single" w:sz="8" w:color="auto"/>
              <w:right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2,094</w:t>
            </w:r>
          </w:p>
        </w:tc>
        <w:tc>
          <w:tcPr>
            <w:tcW w:w="1400" w:type="dxa"/>
            <w:vAlign w:val="bottom"/>
          </w:tcPr>
          <w:p>
            <w:pPr>
              <w:spacing w:after="0"/>
              <w:rPr>
                <w:sz w:val="24"/>
                <w:szCs w:val="24"/>
                <w:color w:val="auto"/>
              </w:rPr>
            </w:pPr>
          </w:p>
        </w:tc>
      </w:tr>
      <w:tr>
        <w:trPr>
          <w:trHeight w:val="973"/>
        </w:trPr>
        <w:tc>
          <w:tcPr>
            <w:tcW w:w="14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LANDS' END,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8"/>
          <w:szCs w:val="18"/>
          <w:color w:val="auto"/>
        </w:rPr>
        <w:t>By:</w:t>
        <w:tab/>
        <w:t>/s/ Peter L.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Peter L. Gray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President, Lands' End Licensing, Chief Administrative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2026-05-07T15:54:54Z</dcterms:created>
  <dcterms:modified xsi:type="dcterms:W3CDTF">2026-05-07T15:54:54Z</dcterms:modified>
</cp:coreProperties>
</file>